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158EE" w:rsidRPr="00085BE7" w:rsidRDefault="00773844" w:rsidP="00703776">
      <w:pPr>
        <w:spacing w:line="276" w:lineRule="auto"/>
        <w:jc w:val="both"/>
        <w:rPr>
          <w:b/>
          <w:sz w:val="22"/>
          <w:szCs w:val="22"/>
        </w:rPr>
      </w:pPr>
      <w:r w:rsidRPr="00085BE7">
        <w:rPr>
          <w:noProof/>
          <w:sz w:val="22"/>
          <w:szCs w:val="22"/>
          <w:lang w:eastAsia="it-IT"/>
        </w:rPr>
        <w:drawing>
          <wp:inline distT="0" distB="0" distL="0" distR="0">
            <wp:extent cx="2038350" cy="1009650"/>
            <wp:effectExtent l="0" t="0" r="0" b="0"/>
            <wp:docPr id="1" name="Immagine 1" descr="ULSS_5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SS_5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009650"/>
                    </a:xfrm>
                    <a:prstGeom prst="rect">
                      <a:avLst/>
                    </a:prstGeom>
                    <a:noFill/>
                    <a:ln>
                      <a:noFill/>
                    </a:ln>
                  </pic:spPr>
                </pic:pic>
              </a:graphicData>
            </a:graphic>
          </wp:inline>
        </w:drawing>
      </w:r>
      <w:r w:rsidR="003158EE" w:rsidRPr="00085BE7">
        <w:rPr>
          <w:b/>
          <w:sz w:val="22"/>
          <w:szCs w:val="22"/>
        </w:rPr>
        <w:t xml:space="preserve"> </w:t>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3158EE" w:rsidRPr="00085BE7">
        <w:rPr>
          <w:b/>
          <w:sz w:val="22"/>
          <w:szCs w:val="22"/>
        </w:rPr>
        <w:tab/>
      </w:r>
      <w:r w:rsidR="00044E58" w:rsidRPr="00085BE7">
        <w:rPr>
          <w:b/>
          <w:sz w:val="22"/>
          <w:szCs w:val="22"/>
        </w:rPr>
        <w:t xml:space="preserve">ALLEGATO </w:t>
      </w:r>
      <w:r w:rsidR="002E4E9D">
        <w:rPr>
          <w:b/>
          <w:sz w:val="22"/>
          <w:szCs w:val="22"/>
        </w:rPr>
        <w:t>1</w:t>
      </w:r>
    </w:p>
    <w:p w:rsidR="003158EE" w:rsidRPr="00085BE7" w:rsidRDefault="003158EE" w:rsidP="00703776">
      <w:pPr>
        <w:spacing w:line="276" w:lineRule="auto"/>
        <w:jc w:val="both"/>
        <w:rPr>
          <w:b/>
          <w:sz w:val="22"/>
          <w:szCs w:val="22"/>
        </w:rPr>
      </w:pPr>
    </w:p>
    <w:p w:rsidR="003158EE" w:rsidRPr="00085BE7" w:rsidRDefault="003158EE" w:rsidP="00703776">
      <w:pPr>
        <w:spacing w:line="276" w:lineRule="auto"/>
        <w:jc w:val="both"/>
        <w:rPr>
          <w:b/>
          <w:sz w:val="22"/>
          <w:szCs w:val="22"/>
        </w:rPr>
      </w:pPr>
    </w:p>
    <w:p w:rsidR="003158EE" w:rsidRPr="00085BE7" w:rsidRDefault="00773844" w:rsidP="00703776">
      <w:pPr>
        <w:spacing w:line="276" w:lineRule="auto"/>
        <w:jc w:val="both"/>
        <w:rPr>
          <w:b/>
          <w:sz w:val="22"/>
          <w:szCs w:val="22"/>
        </w:rPr>
      </w:pPr>
      <w:r w:rsidRPr="00085BE7">
        <w:rPr>
          <w:b/>
          <w:noProof/>
          <w:sz w:val="22"/>
          <w:szCs w:val="22"/>
          <w:lang w:eastAsia="it-IT"/>
        </w:rPr>
        <mc:AlternateContent>
          <mc:Choice Requires="wps">
            <w:drawing>
              <wp:anchor distT="0" distB="0" distL="114300" distR="114300" simplePos="0" relativeHeight="251657216" behindDoc="0" locked="0" layoutInCell="0" allowOverlap="1">
                <wp:simplePos x="0" y="0"/>
                <wp:positionH relativeFrom="column">
                  <wp:posOffset>912495</wp:posOffset>
                </wp:positionH>
                <wp:positionV relativeFrom="paragraph">
                  <wp:posOffset>-80645</wp:posOffset>
                </wp:positionV>
                <wp:extent cx="4844415" cy="114300"/>
                <wp:effectExtent l="381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41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3D0E" w:rsidRDefault="00F83D0E" w:rsidP="003158E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1.85pt;margin-top:-6.35pt;width:381.4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" o:allowincell="f" stroked="f">
                <v:textbox>
                  <w:txbxContent>
                    <w:p w:rsidR="00F83D0E" w:rsidRDefault="00F83D0E" w:rsidP="003158EE">
                      <w:pPr>
                        <w:rPr>
                          <w:szCs w:val="16"/>
                        </w:rPr>
                      </w:pPr>
                    </w:p>
                  </w:txbxContent>
                </v:textbox>
              </v:shape>
            </w:pict>
          </mc:Fallback>
        </mc:AlternateContent>
      </w:r>
      <w:r w:rsidRPr="00085BE7">
        <w:rPr>
          <w:b/>
          <w:noProof/>
          <w:sz w:val="22"/>
          <w:szCs w:val="22"/>
          <w:lang w:eastAsia="it-IT"/>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85725</wp:posOffset>
                </wp:positionV>
                <wp:extent cx="6035040" cy="0"/>
                <wp:effectExtent l="7620" t="10795" r="5715" b="82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4D5D9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75pt" to="476.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N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XCWPk3TH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" o:allowincell="f"/>
            </w:pict>
          </mc:Fallback>
        </mc:AlternateContent>
      </w:r>
    </w:p>
    <w:p w:rsidR="00953A03" w:rsidRPr="00085BE7" w:rsidRDefault="00953A03" w:rsidP="007241E9">
      <w:pPr>
        <w:shd w:val="clear" w:color="auto" w:fill="FFFFFF"/>
        <w:jc w:val="both"/>
        <w:rPr>
          <w:b/>
          <w:sz w:val="22"/>
          <w:szCs w:val="22"/>
        </w:rPr>
      </w:pPr>
      <w:r w:rsidRPr="00085BE7">
        <w:rPr>
          <w:b/>
          <w:sz w:val="22"/>
          <w:szCs w:val="22"/>
        </w:rPr>
        <w:t xml:space="preserve">OGGETTO: </w:t>
      </w:r>
      <w:r w:rsidR="00E72BC1" w:rsidRPr="00085BE7">
        <w:rPr>
          <w:b/>
          <w:sz w:val="22"/>
          <w:szCs w:val="22"/>
        </w:rPr>
        <w:t>Affidamento diretto</w:t>
      </w:r>
      <w:r w:rsidR="00AC54EA" w:rsidRPr="00085BE7">
        <w:rPr>
          <w:b/>
          <w:sz w:val="22"/>
          <w:szCs w:val="22"/>
        </w:rPr>
        <w:t>,</w:t>
      </w:r>
      <w:r w:rsidR="00AC54EA" w:rsidRPr="00085BE7">
        <w:rPr>
          <w:b/>
          <w:bCs/>
          <w:sz w:val="22"/>
          <w:szCs w:val="22"/>
        </w:rPr>
        <w:fldChar w:fldCharType="begin"/>
      </w:r>
      <w:r w:rsidR="00AC54EA" w:rsidRPr="00085BE7">
        <w:rPr>
          <w:b/>
          <w:bCs/>
          <w:sz w:val="22"/>
          <w:szCs w:val="22"/>
        </w:rPr>
        <w:instrText xml:space="preserve"> DOCPROPERTY "Delibera.DL_OggettoLibero.1"  \* MERGEFORMAT </w:instrText>
      </w:r>
      <w:r w:rsidR="00AC54EA" w:rsidRPr="00085BE7">
        <w:rPr>
          <w:b/>
          <w:bCs/>
          <w:sz w:val="22"/>
          <w:szCs w:val="22"/>
        </w:rPr>
        <w:fldChar w:fldCharType="separate"/>
      </w:r>
      <w:r w:rsidR="00AC54EA" w:rsidRPr="00085BE7">
        <w:rPr>
          <w:b/>
          <w:bCs/>
          <w:sz w:val="22"/>
          <w:szCs w:val="22"/>
        </w:rPr>
        <w:t xml:space="preserve"> ai sensi dell’art. 50 c. 1 </w:t>
      </w:r>
      <w:proofErr w:type="spellStart"/>
      <w:r w:rsidR="00AC54EA" w:rsidRPr="00085BE7">
        <w:rPr>
          <w:b/>
          <w:bCs/>
          <w:sz w:val="22"/>
          <w:szCs w:val="22"/>
        </w:rPr>
        <w:t>lett.</w:t>
      </w:r>
      <w:r w:rsidR="00DA7EFB">
        <w:rPr>
          <w:b/>
          <w:bCs/>
          <w:sz w:val="22"/>
          <w:szCs w:val="22"/>
        </w:rPr>
        <w:t>e</w:t>
      </w:r>
      <w:proofErr w:type="spellEnd"/>
      <w:r w:rsidR="00AC54EA" w:rsidRPr="00085BE7">
        <w:rPr>
          <w:b/>
          <w:bCs/>
          <w:sz w:val="22"/>
          <w:szCs w:val="22"/>
        </w:rPr>
        <w:t xml:space="preserve">) del </w:t>
      </w:r>
      <w:proofErr w:type="spellStart"/>
      <w:r w:rsidR="00AC54EA" w:rsidRPr="00085BE7">
        <w:rPr>
          <w:b/>
          <w:bCs/>
          <w:sz w:val="22"/>
          <w:szCs w:val="22"/>
        </w:rPr>
        <w:t>D.Lgs</w:t>
      </w:r>
      <w:proofErr w:type="spellEnd"/>
      <w:r w:rsidR="00AC54EA" w:rsidRPr="00085BE7">
        <w:rPr>
          <w:b/>
          <w:bCs/>
          <w:sz w:val="22"/>
          <w:szCs w:val="22"/>
        </w:rPr>
        <w:t xml:space="preserve"> n. 36/2023 e </w:t>
      </w:r>
      <w:proofErr w:type="spellStart"/>
      <w:r w:rsidR="00AC54EA" w:rsidRPr="00085BE7">
        <w:rPr>
          <w:b/>
          <w:bCs/>
          <w:sz w:val="22"/>
          <w:szCs w:val="22"/>
        </w:rPr>
        <w:t>s.m.i.</w:t>
      </w:r>
      <w:proofErr w:type="spellEnd"/>
      <w:r w:rsidR="00AC54EA" w:rsidRPr="00085BE7">
        <w:rPr>
          <w:b/>
          <w:bCs/>
          <w:sz w:val="22"/>
          <w:szCs w:val="22"/>
        </w:rPr>
        <w:t xml:space="preserve">, </w:t>
      </w:r>
      <w:r w:rsidR="00AC54EA" w:rsidRPr="00085BE7">
        <w:rPr>
          <w:b/>
          <w:bCs/>
          <w:sz w:val="22"/>
          <w:szCs w:val="22"/>
        </w:rPr>
        <w:fldChar w:fldCharType="end"/>
      </w:r>
      <w:r w:rsidR="00DA7EFB" w:rsidRPr="00DA7EFB">
        <w:rPr>
          <w:b/>
          <w:bCs/>
          <w:sz w:val="22"/>
          <w:szCs w:val="22"/>
        </w:rPr>
        <w:t xml:space="preserve"> </w:t>
      </w:r>
      <w:r w:rsidR="00DA7EFB" w:rsidRPr="00581CF5">
        <w:rPr>
          <w:b/>
          <w:bCs/>
          <w:sz w:val="22"/>
          <w:szCs w:val="22"/>
        </w:rPr>
        <w:t>per la fornitura in</w:t>
      </w:r>
      <w:r w:rsidR="00DA7EFB">
        <w:rPr>
          <w:b/>
          <w:bCs/>
          <w:sz w:val="22"/>
          <w:szCs w:val="22"/>
        </w:rPr>
        <w:t xml:space="preserve"> </w:t>
      </w:r>
      <w:r w:rsidR="00DA7EFB" w:rsidRPr="00581CF5">
        <w:rPr>
          <w:b/>
          <w:bCs/>
          <w:sz w:val="22"/>
          <w:szCs w:val="22"/>
        </w:rPr>
        <w:t>noleggio del sistema per ablazione venosa periferica e relativi dispositivi</w:t>
      </w:r>
      <w:r w:rsidR="00DA7EFB">
        <w:rPr>
          <w:b/>
          <w:bCs/>
          <w:sz w:val="22"/>
          <w:szCs w:val="22"/>
        </w:rPr>
        <w:t xml:space="preserve"> </w:t>
      </w:r>
      <w:r w:rsidR="00DA7EFB" w:rsidRPr="00581CF5">
        <w:rPr>
          <w:b/>
          <w:bCs/>
          <w:sz w:val="22"/>
          <w:szCs w:val="22"/>
        </w:rPr>
        <w:t>medici, per il periodo di 24 mesi, eventualmente prorogabile di mesi 3.</w:t>
      </w:r>
    </w:p>
    <w:p w:rsidR="007241E9" w:rsidRPr="00085BE7" w:rsidRDefault="007241E9" w:rsidP="007241E9">
      <w:pPr>
        <w:shd w:val="clear" w:color="auto" w:fill="FFFFFF"/>
        <w:jc w:val="both"/>
        <w:rPr>
          <w:b/>
          <w:sz w:val="22"/>
          <w:szCs w:val="22"/>
        </w:rPr>
      </w:pPr>
    </w:p>
    <w:p w:rsidR="007241E9" w:rsidRPr="00085BE7" w:rsidRDefault="007241E9" w:rsidP="007241E9">
      <w:pPr>
        <w:shd w:val="clear" w:color="auto" w:fill="FFFFFF"/>
        <w:jc w:val="both"/>
        <w:rPr>
          <w:b/>
          <w:sz w:val="22"/>
          <w:szCs w:val="22"/>
          <w:u w:val="single"/>
        </w:rPr>
      </w:pPr>
      <w:bookmarkStart w:id="0" w:name="_GoBack"/>
      <w:bookmarkEnd w:id="0"/>
    </w:p>
    <w:p w:rsidR="003B6A52" w:rsidRPr="00085BE7" w:rsidRDefault="003B6A52" w:rsidP="00703776">
      <w:pPr>
        <w:spacing w:line="276" w:lineRule="auto"/>
        <w:jc w:val="both"/>
        <w:rPr>
          <w:b/>
          <w:sz w:val="22"/>
          <w:szCs w:val="22"/>
          <w:u w:val="single"/>
        </w:rPr>
      </w:pPr>
      <w:r w:rsidRPr="00085BE7">
        <w:rPr>
          <w:b/>
          <w:sz w:val="22"/>
          <w:szCs w:val="22"/>
          <w:u w:val="single"/>
        </w:rPr>
        <w:t xml:space="preserve">CAPITOLATO </w:t>
      </w:r>
      <w:r w:rsidR="00DE0ACE" w:rsidRPr="00085BE7">
        <w:rPr>
          <w:b/>
          <w:sz w:val="22"/>
          <w:szCs w:val="22"/>
          <w:u w:val="single"/>
        </w:rPr>
        <w:t>TECNICO</w:t>
      </w:r>
    </w:p>
    <w:p w:rsidR="00BC3595" w:rsidRPr="00085BE7" w:rsidRDefault="00BC3595" w:rsidP="00703776">
      <w:pPr>
        <w:spacing w:line="276" w:lineRule="auto"/>
        <w:jc w:val="both"/>
        <w:rPr>
          <w:b/>
          <w:sz w:val="22"/>
          <w:szCs w:val="22"/>
        </w:rPr>
      </w:pPr>
    </w:p>
    <w:p w:rsidR="001F4443" w:rsidRPr="00085BE7" w:rsidRDefault="001F4443" w:rsidP="00703776">
      <w:pPr>
        <w:tabs>
          <w:tab w:val="center" w:pos="4819"/>
          <w:tab w:val="left" w:pos="7090"/>
          <w:tab w:val="left" w:pos="7799"/>
          <w:tab w:val="left" w:pos="8508"/>
          <w:tab w:val="left" w:pos="9131"/>
          <w:tab w:val="right" w:pos="9638"/>
        </w:tabs>
        <w:spacing w:line="276" w:lineRule="auto"/>
        <w:jc w:val="both"/>
        <w:rPr>
          <w:b/>
          <w:iCs/>
          <w:sz w:val="22"/>
          <w:szCs w:val="22"/>
        </w:rPr>
      </w:pPr>
      <w:bookmarkStart w:id="1" w:name="_Toc527099445"/>
      <w:r w:rsidRPr="00085BE7">
        <w:rPr>
          <w:b/>
          <w:iCs/>
          <w:sz w:val="22"/>
          <w:szCs w:val="22"/>
        </w:rPr>
        <w:t xml:space="preserve">Art. 1 - </w:t>
      </w:r>
      <w:r w:rsidR="00BC6E98" w:rsidRPr="00085BE7">
        <w:rPr>
          <w:b/>
          <w:iCs/>
          <w:sz w:val="22"/>
          <w:szCs w:val="22"/>
        </w:rPr>
        <w:t>OGGETTO E CARATTERISTICHE DELLA FORNITURA</w:t>
      </w:r>
      <w:r w:rsidRPr="00085BE7">
        <w:rPr>
          <w:b/>
          <w:iCs/>
          <w:sz w:val="22"/>
          <w:szCs w:val="22"/>
        </w:rPr>
        <w:t>:</w:t>
      </w:r>
      <w:bookmarkEnd w:id="1"/>
    </w:p>
    <w:p w:rsidR="00BB3CDD" w:rsidRPr="00085BE7" w:rsidRDefault="00A61215" w:rsidP="00703776">
      <w:pPr>
        <w:pStyle w:val="Corpotesto"/>
        <w:spacing w:after="0" w:line="276" w:lineRule="auto"/>
        <w:jc w:val="both"/>
        <w:rPr>
          <w:sz w:val="22"/>
          <w:szCs w:val="22"/>
        </w:rPr>
      </w:pPr>
      <w:r w:rsidRPr="00085BE7">
        <w:rPr>
          <w:sz w:val="22"/>
          <w:szCs w:val="22"/>
        </w:rPr>
        <w:t xml:space="preserve">Il presente documento ha per oggetto le Condizioni di </w:t>
      </w:r>
      <w:r w:rsidR="006F1F1E" w:rsidRPr="00085BE7">
        <w:rPr>
          <w:sz w:val="22"/>
          <w:szCs w:val="22"/>
        </w:rPr>
        <w:t xml:space="preserve">fornitura </w:t>
      </w:r>
      <w:r w:rsidR="00E72BC1" w:rsidRPr="00085BE7">
        <w:rPr>
          <w:sz w:val="22"/>
          <w:szCs w:val="22"/>
        </w:rPr>
        <w:t>di kit per emodialisi</w:t>
      </w:r>
      <w:r w:rsidR="00844DCD" w:rsidRPr="00085BE7">
        <w:rPr>
          <w:bCs/>
          <w:sz w:val="22"/>
          <w:szCs w:val="22"/>
        </w:rPr>
        <w:t>, per il periodo di 3 mesi</w:t>
      </w:r>
      <w:r w:rsidR="00BD36DF" w:rsidRPr="00085BE7">
        <w:rPr>
          <w:bCs/>
          <w:sz w:val="22"/>
          <w:szCs w:val="22"/>
        </w:rPr>
        <w:t xml:space="preserve"> nelle more dell’espletamento di procedura selettiva competitiva</w:t>
      </w:r>
      <w:r w:rsidR="00953A03" w:rsidRPr="00085BE7">
        <w:rPr>
          <w:sz w:val="22"/>
          <w:szCs w:val="22"/>
        </w:rPr>
        <w:t>.</w:t>
      </w:r>
    </w:p>
    <w:p w:rsidR="005B05AD" w:rsidRPr="00085BE7" w:rsidRDefault="005B05AD" w:rsidP="00703776">
      <w:pPr>
        <w:tabs>
          <w:tab w:val="center" w:pos="4819"/>
          <w:tab w:val="left" w:pos="7090"/>
          <w:tab w:val="left" w:pos="7799"/>
          <w:tab w:val="left" w:pos="8508"/>
          <w:tab w:val="left" w:pos="9131"/>
          <w:tab w:val="right" w:pos="9638"/>
        </w:tabs>
        <w:spacing w:line="276" w:lineRule="auto"/>
        <w:jc w:val="both"/>
        <w:rPr>
          <w:b/>
          <w:iCs/>
          <w:sz w:val="22"/>
          <w:szCs w:val="22"/>
        </w:rPr>
      </w:pPr>
    </w:p>
    <w:p w:rsidR="00123B32" w:rsidRPr="00085BE7" w:rsidRDefault="00C067D2" w:rsidP="00703776">
      <w:pPr>
        <w:tabs>
          <w:tab w:val="center" w:pos="4819"/>
          <w:tab w:val="left" w:pos="7090"/>
          <w:tab w:val="left" w:pos="7799"/>
          <w:tab w:val="left" w:pos="8508"/>
          <w:tab w:val="left" w:pos="9131"/>
          <w:tab w:val="right" w:pos="9638"/>
        </w:tabs>
        <w:spacing w:line="276" w:lineRule="auto"/>
        <w:jc w:val="both"/>
        <w:rPr>
          <w:b/>
          <w:iCs/>
          <w:sz w:val="22"/>
          <w:szCs w:val="22"/>
        </w:rPr>
      </w:pPr>
      <w:r w:rsidRPr="00085BE7">
        <w:rPr>
          <w:b/>
          <w:iCs/>
          <w:sz w:val="22"/>
          <w:szCs w:val="22"/>
        </w:rPr>
        <w:t>Art. 2</w:t>
      </w:r>
      <w:r w:rsidR="00B051AD" w:rsidRPr="00085BE7">
        <w:rPr>
          <w:b/>
          <w:iCs/>
          <w:sz w:val="22"/>
          <w:szCs w:val="22"/>
        </w:rPr>
        <w:t xml:space="preserve"> -</w:t>
      </w:r>
      <w:r w:rsidRPr="00085BE7">
        <w:rPr>
          <w:b/>
          <w:iCs/>
          <w:sz w:val="22"/>
          <w:szCs w:val="22"/>
        </w:rPr>
        <w:t xml:space="preserve"> </w:t>
      </w:r>
      <w:r w:rsidR="00123B32" w:rsidRPr="00085BE7">
        <w:rPr>
          <w:b/>
          <w:iCs/>
          <w:sz w:val="22"/>
          <w:szCs w:val="22"/>
        </w:rPr>
        <w:t>CARATTERISTICHE TECNICHE e FABBISOGNI</w:t>
      </w:r>
      <w:r w:rsidR="00085BE7" w:rsidRPr="00085BE7">
        <w:rPr>
          <w:b/>
          <w:iCs/>
          <w:sz w:val="22"/>
          <w:szCs w:val="22"/>
        </w:rPr>
        <w:t xml:space="preserve"> PER </w:t>
      </w:r>
      <w:r w:rsidR="001F4D27">
        <w:rPr>
          <w:b/>
          <w:iCs/>
          <w:sz w:val="22"/>
          <w:szCs w:val="22"/>
        </w:rPr>
        <w:t>12</w:t>
      </w:r>
      <w:r w:rsidR="00085BE7" w:rsidRPr="00085BE7">
        <w:rPr>
          <w:b/>
          <w:iCs/>
          <w:sz w:val="22"/>
          <w:szCs w:val="22"/>
        </w:rPr>
        <w:t xml:space="preserve"> MESI</w:t>
      </w:r>
    </w:p>
    <w:p w:rsidR="00123B32" w:rsidRPr="00085BE7" w:rsidRDefault="00123B32" w:rsidP="00703776">
      <w:pPr>
        <w:tabs>
          <w:tab w:val="center" w:pos="4819"/>
          <w:tab w:val="left" w:pos="7090"/>
          <w:tab w:val="left" w:pos="7799"/>
          <w:tab w:val="left" w:pos="8508"/>
          <w:tab w:val="left" w:pos="9131"/>
          <w:tab w:val="right" w:pos="9638"/>
        </w:tabs>
        <w:spacing w:line="276" w:lineRule="auto"/>
        <w:jc w:val="both"/>
        <w:rPr>
          <w:b/>
          <w:iCs/>
          <w:sz w:val="22"/>
          <w:szCs w:val="22"/>
        </w:rPr>
      </w:pPr>
    </w:p>
    <w:p w:rsidR="006067C0" w:rsidRDefault="00EC1727" w:rsidP="006067C0">
      <w:pPr>
        <w:ind w:left="1" w:right="-1" w:hanging="1"/>
        <w:jc w:val="both"/>
        <w:rPr>
          <w:b/>
          <w:noProof/>
          <w:color w:val="000000"/>
          <w:spacing w:val="-1"/>
          <w:sz w:val="22"/>
          <w:szCs w:val="22"/>
        </w:rPr>
      </w:pPr>
      <w:r>
        <w:rPr>
          <w:b/>
          <w:noProof/>
          <w:color w:val="000000"/>
          <w:spacing w:val="-1"/>
          <w:sz w:val="22"/>
          <w:szCs w:val="22"/>
        </w:rPr>
        <w:t>Fornitura in noleggio di Sistema per ablazione venosa periferica e relativi dispositivi medici consumabili.</w:t>
      </w:r>
    </w:p>
    <w:p w:rsidR="00EC1727" w:rsidRPr="00085BE7" w:rsidRDefault="00EC1727" w:rsidP="006067C0">
      <w:pPr>
        <w:ind w:left="1" w:right="-1" w:hanging="1"/>
        <w:jc w:val="both"/>
        <w:rPr>
          <w:b/>
          <w:noProof/>
          <w:color w:val="000000"/>
          <w:spacing w:val="-1"/>
          <w:sz w:val="22"/>
          <w:szCs w:val="22"/>
        </w:rPr>
      </w:pPr>
    </w:p>
    <w:p w:rsidR="001D5EA3" w:rsidRDefault="00EC1727" w:rsidP="003A03EA">
      <w:pPr>
        <w:ind w:left="360" w:rightChars="-41" w:right="-98"/>
        <w:rPr>
          <w:color w:val="000000"/>
          <w:sz w:val="22"/>
          <w:szCs w:val="22"/>
          <w:u w:val="single"/>
        </w:rPr>
      </w:pPr>
      <w:r w:rsidRPr="001D5EA3">
        <w:rPr>
          <w:b/>
          <w:bCs/>
          <w:sz w:val="22"/>
          <w:szCs w:val="22"/>
          <w:u w:val="single"/>
        </w:rPr>
        <w:t>Sub A), B), C)</w:t>
      </w:r>
      <w:r>
        <w:rPr>
          <w:color w:val="000000"/>
          <w:sz w:val="22"/>
          <w:szCs w:val="22"/>
          <w:u w:val="single"/>
        </w:rPr>
        <w:t xml:space="preserve"> </w:t>
      </w:r>
    </w:p>
    <w:p w:rsidR="003A03EA" w:rsidRPr="001D5EA3" w:rsidRDefault="00EC1727" w:rsidP="001D5EA3">
      <w:pPr>
        <w:ind w:left="142" w:rightChars="-41" w:right="-98"/>
        <w:rPr>
          <w:sz w:val="22"/>
          <w:szCs w:val="22"/>
        </w:rPr>
      </w:pPr>
      <w:r w:rsidRPr="001D5EA3">
        <w:rPr>
          <w:sz w:val="22"/>
          <w:szCs w:val="22"/>
        </w:rPr>
        <w:t>Catetere endovenoso per termoablazione segmentale a radiofrequenza 7Fr, disponibile con elemento riscaldante da 3cm e 7 cm, disponibile nelle lunghezze di 60cm e 100cm manipolo dotato di pulsante di interruzione dell’energia, possibilità di avanzamento con filo guida compatibile 0.025”, temperatura di trattamento 120° C</w:t>
      </w:r>
    </w:p>
    <w:p w:rsidR="001D5EA3" w:rsidRDefault="001D5EA3" w:rsidP="003A03EA">
      <w:pPr>
        <w:ind w:left="360" w:rightChars="-41" w:right="-98"/>
        <w:rPr>
          <w:color w:val="000000"/>
          <w:sz w:val="22"/>
          <w:szCs w:val="22"/>
          <w:u w:val="single"/>
        </w:rPr>
      </w:pPr>
    </w:p>
    <w:p w:rsidR="001D5EA3" w:rsidRDefault="001D5EA3" w:rsidP="003A03EA">
      <w:pPr>
        <w:ind w:left="360" w:rightChars="-41" w:right="-98"/>
        <w:rPr>
          <w:color w:val="000000"/>
          <w:sz w:val="22"/>
          <w:szCs w:val="22"/>
          <w:u w:val="single"/>
        </w:rPr>
      </w:pPr>
      <w:r>
        <w:rPr>
          <w:color w:val="000000"/>
          <w:sz w:val="22"/>
          <w:szCs w:val="22"/>
          <w:u w:val="single"/>
        </w:rPr>
        <w:t>Fabbisogno biennale complessivo previsto: 340pz.</w:t>
      </w:r>
    </w:p>
    <w:p w:rsidR="001D5EA3" w:rsidRDefault="001D5EA3" w:rsidP="003A03EA">
      <w:pPr>
        <w:ind w:left="360" w:rightChars="-41" w:right="-98"/>
        <w:rPr>
          <w:color w:val="000000"/>
          <w:sz w:val="22"/>
          <w:szCs w:val="22"/>
          <w:u w:val="single"/>
        </w:rPr>
      </w:pPr>
    </w:p>
    <w:p w:rsidR="001D5EA3" w:rsidRPr="00CA46B8" w:rsidRDefault="001D5EA3" w:rsidP="001D5EA3">
      <w:pPr>
        <w:ind w:firstLine="284"/>
        <w:rPr>
          <w:sz w:val="22"/>
          <w:szCs w:val="22"/>
        </w:rPr>
      </w:pPr>
      <w:proofErr w:type="spellStart"/>
      <w:r w:rsidRPr="00CA46B8">
        <w:rPr>
          <w:b/>
          <w:bCs/>
          <w:sz w:val="22"/>
          <w:szCs w:val="22"/>
          <w:u w:val="single"/>
        </w:rPr>
        <w:t>Sublotto</w:t>
      </w:r>
      <w:proofErr w:type="spellEnd"/>
      <w:r w:rsidRPr="00CA46B8">
        <w:rPr>
          <w:b/>
          <w:bCs/>
          <w:sz w:val="22"/>
          <w:szCs w:val="22"/>
          <w:u w:val="single"/>
        </w:rPr>
        <w:t xml:space="preserve"> D):</w:t>
      </w:r>
    </w:p>
    <w:p w:rsidR="001D5EA3" w:rsidRDefault="001D5EA3" w:rsidP="001D5EA3">
      <w:pPr>
        <w:rPr>
          <w:sz w:val="22"/>
          <w:szCs w:val="22"/>
        </w:rPr>
      </w:pPr>
      <w:r w:rsidRPr="00CA46B8">
        <w:rPr>
          <w:sz w:val="22"/>
          <w:szCs w:val="22"/>
        </w:rPr>
        <w:t xml:space="preserve">Catetere endovenoso per termoablazione segmentale a radiofrequenza 6Fr, disponibile con elemento riscaldante </w:t>
      </w:r>
      <w:r>
        <w:rPr>
          <w:sz w:val="22"/>
          <w:szCs w:val="22"/>
        </w:rPr>
        <w:t>di lunghezza non inferiore a</w:t>
      </w:r>
      <w:r w:rsidRPr="00CA46B8">
        <w:rPr>
          <w:sz w:val="22"/>
          <w:szCs w:val="22"/>
        </w:rPr>
        <w:t xml:space="preserve"> 8cm, disponibile nelle lunghezze di 60cm e 100cm, manipolo dotato di pulsante di interruzione dell'energia, possibilità di avanzamento con filo guida</w:t>
      </w:r>
      <w:r>
        <w:rPr>
          <w:sz w:val="22"/>
          <w:szCs w:val="22"/>
        </w:rPr>
        <w:t xml:space="preserve"> compatibile 0.025”</w:t>
      </w:r>
      <w:r w:rsidRPr="00CA46B8">
        <w:rPr>
          <w:sz w:val="22"/>
          <w:szCs w:val="22"/>
        </w:rPr>
        <w:t>, temperatura di trattamento 120°C, sterile, monouso</w:t>
      </w:r>
    </w:p>
    <w:p w:rsidR="001D5EA3" w:rsidRDefault="001D5EA3" w:rsidP="001D5EA3">
      <w:pPr>
        <w:rPr>
          <w:sz w:val="22"/>
          <w:szCs w:val="22"/>
        </w:rPr>
      </w:pPr>
    </w:p>
    <w:p w:rsidR="001D5EA3" w:rsidRPr="001D5EA3" w:rsidRDefault="001D5EA3" w:rsidP="001D5EA3">
      <w:pPr>
        <w:ind w:left="360" w:rightChars="-41" w:right="-98"/>
        <w:rPr>
          <w:color w:val="000000"/>
          <w:sz w:val="22"/>
          <w:szCs w:val="22"/>
          <w:u w:val="single"/>
        </w:rPr>
      </w:pPr>
      <w:r w:rsidRPr="001D5EA3">
        <w:rPr>
          <w:color w:val="000000"/>
          <w:sz w:val="22"/>
          <w:szCs w:val="22"/>
          <w:u w:val="single"/>
        </w:rPr>
        <w:t>Fabbisogno biennale previsto: 80 pz.</w:t>
      </w:r>
    </w:p>
    <w:p w:rsidR="001D5EA3" w:rsidRPr="00CA46B8" w:rsidRDefault="001D5EA3" w:rsidP="001D5EA3">
      <w:pPr>
        <w:rPr>
          <w:sz w:val="22"/>
          <w:szCs w:val="22"/>
        </w:rPr>
      </w:pPr>
    </w:p>
    <w:p w:rsidR="001D5EA3" w:rsidRPr="009B3436" w:rsidRDefault="001D5EA3" w:rsidP="001D5EA3">
      <w:pPr>
        <w:ind w:firstLine="284"/>
        <w:rPr>
          <w:b/>
          <w:bCs/>
          <w:sz w:val="22"/>
          <w:szCs w:val="22"/>
          <w:u w:val="single"/>
        </w:rPr>
      </w:pPr>
      <w:proofErr w:type="spellStart"/>
      <w:r>
        <w:rPr>
          <w:b/>
          <w:bCs/>
          <w:sz w:val="22"/>
          <w:szCs w:val="22"/>
          <w:u w:val="single"/>
        </w:rPr>
        <w:t>Sublotto</w:t>
      </w:r>
      <w:proofErr w:type="spellEnd"/>
      <w:r w:rsidRPr="009B3436">
        <w:rPr>
          <w:b/>
          <w:bCs/>
          <w:sz w:val="22"/>
          <w:szCs w:val="22"/>
          <w:u w:val="single"/>
        </w:rPr>
        <w:t xml:space="preserve"> </w:t>
      </w:r>
      <w:r>
        <w:rPr>
          <w:b/>
          <w:bCs/>
          <w:sz w:val="22"/>
          <w:szCs w:val="22"/>
          <w:u w:val="single"/>
        </w:rPr>
        <w:t>E</w:t>
      </w:r>
      <w:r w:rsidRPr="009B3436">
        <w:rPr>
          <w:b/>
          <w:bCs/>
          <w:sz w:val="22"/>
          <w:szCs w:val="22"/>
          <w:u w:val="single"/>
        </w:rPr>
        <w:t>)</w:t>
      </w:r>
      <w:r>
        <w:rPr>
          <w:b/>
          <w:bCs/>
          <w:sz w:val="22"/>
          <w:szCs w:val="22"/>
          <w:u w:val="single"/>
        </w:rPr>
        <w:t>:</w:t>
      </w:r>
    </w:p>
    <w:p w:rsidR="001D5EA3" w:rsidRDefault="001D5EA3" w:rsidP="001D5EA3">
      <w:pPr>
        <w:rPr>
          <w:sz w:val="22"/>
          <w:szCs w:val="22"/>
        </w:rPr>
      </w:pPr>
      <w:r w:rsidRPr="009B3436">
        <w:rPr>
          <w:sz w:val="22"/>
          <w:szCs w:val="22"/>
        </w:rPr>
        <w:t>Stiletto endovenoso per termoablazione in continuo a radiofrequenza 7Fr, lunghezza utile 12cm, parte attiva 0,5cm, temperatura di trattamento 85°C, specificatamente indicato per il trattamento delle perforanti, sterile, monouso</w:t>
      </w:r>
    </w:p>
    <w:p w:rsidR="001D5EA3" w:rsidRDefault="001D5EA3" w:rsidP="001D5EA3">
      <w:pPr>
        <w:rPr>
          <w:sz w:val="22"/>
          <w:szCs w:val="22"/>
        </w:rPr>
      </w:pPr>
    </w:p>
    <w:p w:rsidR="001D5EA3" w:rsidRPr="001D5EA3" w:rsidRDefault="001D5EA3" w:rsidP="001D5EA3">
      <w:pPr>
        <w:ind w:left="360" w:rightChars="-41" w:right="-98"/>
        <w:rPr>
          <w:color w:val="000000"/>
          <w:sz w:val="22"/>
          <w:szCs w:val="22"/>
          <w:u w:val="single"/>
        </w:rPr>
      </w:pPr>
      <w:r w:rsidRPr="001D5EA3">
        <w:rPr>
          <w:color w:val="000000"/>
          <w:sz w:val="22"/>
          <w:szCs w:val="22"/>
          <w:u w:val="single"/>
        </w:rPr>
        <w:t xml:space="preserve">Fabbisogno biennale previsto: </w:t>
      </w:r>
      <w:r>
        <w:rPr>
          <w:color w:val="000000"/>
          <w:sz w:val="22"/>
          <w:szCs w:val="22"/>
          <w:u w:val="single"/>
        </w:rPr>
        <w:t>10</w:t>
      </w:r>
      <w:r w:rsidRPr="001D5EA3">
        <w:rPr>
          <w:color w:val="000000"/>
          <w:sz w:val="22"/>
          <w:szCs w:val="22"/>
          <w:u w:val="single"/>
        </w:rPr>
        <w:t xml:space="preserve"> pz.</w:t>
      </w:r>
    </w:p>
    <w:p w:rsidR="001D5EA3" w:rsidRDefault="001D5EA3" w:rsidP="001D5EA3">
      <w:pPr>
        <w:rPr>
          <w:sz w:val="22"/>
          <w:szCs w:val="22"/>
        </w:rPr>
      </w:pPr>
    </w:p>
    <w:p w:rsidR="001D5EA3" w:rsidRPr="009B3436" w:rsidRDefault="001D5EA3" w:rsidP="001D5EA3">
      <w:pPr>
        <w:rPr>
          <w:sz w:val="22"/>
          <w:szCs w:val="22"/>
        </w:rPr>
      </w:pPr>
    </w:p>
    <w:p w:rsidR="001D5EA3" w:rsidRPr="009B3436" w:rsidRDefault="001D5EA3" w:rsidP="001D5EA3">
      <w:pPr>
        <w:ind w:firstLine="284"/>
        <w:rPr>
          <w:b/>
          <w:bCs/>
          <w:sz w:val="22"/>
          <w:szCs w:val="22"/>
          <w:u w:val="single"/>
        </w:rPr>
      </w:pPr>
      <w:proofErr w:type="spellStart"/>
      <w:r>
        <w:rPr>
          <w:b/>
          <w:bCs/>
          <w:sz w:val="22"/>
          <w:szCs w:val="22"/>
          <w:u w:val="single"/>
        </w:rPr>
        <w:t>Sublotto</w:t>
      </w:r>
      <w:proofErr w:type="spellEnd"/>
      <w:r w:rsidRPr="009B3436">
        <w:rPr>
          <w:b/>
          <w:bCs/>
          <w:sz w:val="22"/>
          <w:szCs w:val="22"/>
          <w:u w:val="single"/>
        </w:rPr>
        <w:t xml:space="preserve"> </w:t>
      </w:r>
      <w:r>
        <w:rPr>
          <w:b/>
          <w:bCs/>
          <w:sz w:val="22"/>
          <w:szCs w:val="22"/>
          <w:u w:val="single"/>
        </w:rPr>
        <w:t>F</w:t>
      </w:r>
      <w:r w:rsidRPr="009B3436">
        <w:rPr>
          <w:b/>
          <w:bCs/>
          <w:sz w:val="22"/>
          <w:szCs w:val="22"/>
          <w:u w:val="single"/>
        </w:rPr>
        <w:t>)</w:t>
      </w:r>
    </w:p>
    <w:p w:rsidR="001D5EA3" w:rsidRDefault="001D5EA3" w:rsidP="001D5EA3">
      <w:pPr>
        <w:rPr>
          <w:sz w:val="22"/>
          <w:szCs w:val="22"/>
        </w:rPr>
      </w:pPr>
      <w:r w:rsidRPr="009B3436">
        <w:rPr>
          <w:sz w:val="22"/>
          <w:szCs w:val="22"/>
        </w:rPr>
        <w:t>Set tubi per infusione, per pompa di infiltrazione di tumescenza, con cannula inseribile, lunghezza 4m, sterile, monouso</w:t>
      </w:r>
    </w:p>
    <w:p w:rsidR="001D5EA3" w:rsidRDefault="001D5EA3" w:rsidP="001D5EA3">
      <w:pPr>
        <w:rPr>
          <w:sz w:val="22"/>
          <w:szCs w:val="22"/>
        </w:rPr>
      </w:pPr>
    </w:p>
    <w:p w:rsidR="001D5EA3" w:rsidRPr="001D5EA3" w:rsidRDefault="001D5EA3" w:rsidP="001D5EA3">
      <w:pPr>
        <w:ind w:left="360" w:rightChars="-41" w:right="-98"/>
        <w:rPr>
          <w:color w:val="000000"/>
          <w:sz w:val="22"/>
          <w:szCs w:val="22"/>
          <w:u w:val="single"/>
        </w:rPr>
      </w:pPr>
      <w:r w:rsidRPr="001D5EA3">
        <w:rPr>
          <w:color w:val="000000"/>
          <w:sz w:val="22"/>
          <w:szCs w:val="22"/>
          <w:u w:val="single"/>
        </w:rPr>
        <w:lastRenderedPageBreak/>
        <w:t xml:space="preserve">Fabbisogno biennale previsto: </w:t>
      </w:r>
      <w:r>
        <w:rPr>
          <w:color w:val="000000"/>
          <w:sz w:val="22"/>
          <w:szCs w:val="22"/>
          <w:u w:val="single"/>
        </w:rPr>
        <w:t>240</w:t>
      </w:r>
      <w:r w:rsidRPr="001D5EA3">
        <w:rPr>
          <w:color w:val="000000"/>
          <w:sz w:val="22"/>
          <w:szCs w:val="22"/>
          <w:u w:val="single"/>
        </w:rPr>
        <w:t xml:space="preserve"> pz.</w:t>
      </w:r>
    </w:p>
    <w:p w:rsidR="001D5EA3" w:rsidRPr="009B3436" w:rsidRDefault="001D5EA3" w:rsidP="001D5EA3">
      <w:pPr>
        <w:rPr>
          <w:sz w:val="22"/>
          <w:szCs w:val="22"/>
        </w:rPr>
      </w:pPr>
    </w:p>
    <w:p w:rsidR="001D5EA3" w:rsidRPr="009B3436" w:rsidRDefault="001D5EA3" w:rsidP="001D5EA3">
      <w:pPr>
        <w:ind w:firstLine="284"/>
        <w:rPr>
          <w:b/>
          <w:bCs/>
          <w:sz w:val="22"/>
          <w:szCs w:val="22"/>
          <w:u w:val="single"/>
        </w:rPr>
      </w:pPr>
      <w:proofErr w:type="spellStart"/>
      <w:r>
        <w:rPr>
          <w:b/>
          <w:bCs/>
          <w:sz w:val="22"/>
          <w:szCs w:val="22"/>
          <w:u w:val="single"/>
        </w:rPr>
        <w:t>Sublotto</w:t>
      </w:r>
      <w:proofErr w:type="spellEnd"/>
      <w:r w:rsidRPr="009B3436">
        <w:rPr>
          <w:b/>
          <w:bCs/>
          <w:sz w:val="22"/>
          <w:szCs w:val="22"/>
          <w:u w:val="single"/>
        </w:rPr>
        <w:t xml:space="preserve"> </w:t>
      </w:r>
      <w:r>
        <w:rPr>
          <w:b/>
          <w:bCs/>
          <w:sz w:val="22"/>
          <w:szCs w:val="22"/>
          <w:u w:val="single"/>
        </w:rPr>
        <w:t>G</w:t>
      </w:r>
      <w:r w:rsidRPr="009B3436">
        <w:rPr>
          <w:b/>
          <w:bCs/>
          <w:sz w:val="22"/>
          <w:szCs w:val="22"/>
          <w:u w:val="single"/>
        </w:rPr>
        <w:t>)</w:t>
      </w:r>
    </w:p>
    <w:p w:rsidR="001D5EA3" w:rsidRDefault="001D5EA3" w:rsidP="001D5EA3">
      <w:pPr>
        <w:rPr>
          <w:sz w:val="22"/>
          <w:szCs w:val="22"/>
        </w:rPr>
      </w:pPr>
      <w:r w:rsidRPr="009B3436">
        <w:rPr>
          <w:sz w:val="22"/>
          <w:szCs w:val="22"/>
        </w:rPr>
        <w:t xml:space="preserve">Ago per angiografia 21G, lunghezza 7cm, in acciaio, dotato di raccordo femmina per connettore </w:t>
      </w:r>
      <w:proofErr w:type="spellStart"/>
      <w:r w:rsidRPr="009B3436">
        <w:rPr>
          <w:sz w:val="22"/>
          <w:szCs w:val="22"/>
        </w:rPr>
        <w:t>luer</w:t>
      </w:r>
      <w:proofErr w:type="spellEnd"/>
      <w:r w:rsidRPr="009B3436">
        <w:rPr>
          <w:sz w:val="22"/>
          <w:szCs w:val="22"/>
        </w:rPr>
        <w:t xml:space="preserve"> </w:t>
      </w:r>
      <w:proofErr w:type="spellStart"/>
      <w:r w:rsidRPr="009B3436">
        <w:rPr>
          <w:sz w:val="22"/>
          <w:szCs w:val="22"/>
        </w:rPr>
        <w:t>lock</w:t>
      </w:r>
      <w:proofErr w:type="spellEnd"/>
      <w:r w:rsidRPr="009B3436">
        <w:rPr>
          <w:sz w:val="22"/>
          <w:szCs w:val="22"/>
        </w:rPr>
        <w:t>, compatibile con filo guida 0.021”, sterile, monouso</w:t>
      </w:r>
    </w:p>
    <w:p w:rsidR="001D5EA3" w:rsidRDefault="001D5EA3" w:rsidP="001D5EA3">
      <w:pPr>
        <w:rPr>
          <w:sz w:val="22"/>
          <w:szCs w:val="22"/>
        </w:rPr>
      </w:pPr>
    </w:p>
    <w:p w:rsidR="001D5EA3" w:rsidRPr="001D5EA3" w:rsidRDefault="001D5EA3" w:rsidP="001D5EA3">
      <w:pPr>
        <w:ind w:left="360" w:rightChars="-41" w:right="-98"/>
        <w:rPr>
          <w:color w:val="000000"/>
          <w:sz w:val="22"/>
          <w:szCs w:val="22"/>
          <w:u w:val="single"/>
        </w:rPr>
      </w:pPr>
      <w:r w:rsidRPr="001D5EA3">
        <w:rPr>
          <w:color w:val="000000"/>
          <w:sz w:val="22"/>
          <w:szCs w:val="22"/>
          <w:u w:val="single"/>
        </w:rPr>
        <w:t xml:space="preserve">Fabbisogno biennale previsto: </w:t>
      </w:r>
      <w:r>
        <w:rPr>
          <w:color w:val="000000"/>
          <w:sz w:val="22"/>
          <w:szCs w:val="22"/>
          <w:u w:val="single"/>
        </w:rPr>
        <w:t>420</w:t>
      </w:r>
      <w:r w:rsidRPr="001D5EA3">
        <w:rPr>
          <w:color w:val="000000"/>
          <w:sz w:val="22"/>
          <w:szCs w:val="22"/>
          <w:u w:val="single"/>
        </w:rPr>
        <w:t xml:space="preserve"> pz.</w:t>
      </w:r>
    </w:p>
    <w:p w:rsidR="001D5EA3" w:rsidRDefault="001D5EA3" w:rsidP="001D5EA3">
      <w:pPr>
        <w:rPr>
          <w:sz w:val="22"/>
          <w:szCs w:val="22"/>
        </w:rPr>
      </w:pPr>
    </w:p>
    <w:p w:rsidR="001D5EA3" w:rsidRPr="009B3436" w:rsidRDefault="001D5EA3" w:rsidP="001D5EA3">
      <w:pPr>
        <w:rPr>
          <w:sz w:val="22"/>
          <w:szCs w:val="22"/>
        </w:rPr>
      </w:pPr>
    </w:p>
    <w:p w:rsidR="001D5EA3" w:rsidRPr="009B3436" w:rsidRDefault="001D5EA3" w:rsidP="001D5EA3">
      <w:pPr>
        <w:ind w:firstLine="284"/>
        <w:rPr>
          <w:b/>
          <w:bCs/>
          <w:sz w:val="22"/>
          <w:szCs w:val="22"/>
          <w:u w:val="single"/>
        </w:rPr>
      </w:pPr>
      <w:proofErr w:type="spellStart"/>
      <w:r>
        <w:rPr>
          <w:b/>
          <w:bCs/>
          <w:sz w:val="22"/>
          <w:szCs w:val="22"/>
          <w:u w:val="single"/>
        </w:rPr>
        <w:t>Sublotti</w:t>
      </w:r>
      <w:proofErr w:type="spellEnd"/>
      <w:r w:rsidRPr="009B3436">
        <w:rPr>
          <w:b/>
          <w:bCs/>
          <w:sz w:val="22"/>
          <w:szCs w:val="22"/>
          <w:u w:val="single"/>
        </w:rPr>
        <w:t xml:space="preserve"> </w:t>
      </w:r>
      <w:r>
        <w:rPr>
          <w:b/>
          <w:bCs/>
          <w:sz w:val="22"/>
          <w:szCs w:val="22"/>
          <w:u w:val="single"/>
        </w:rPr>
        <w:t>H, I</w:t>
      </w:r>
      <w:r w:rsidRPr="009B3436">
        <w:rPr>
          <w:b/>
          <w:bCs/>
          <w:sz w:val="22"/>
          <w:szCs w:val="22"/>
          <w:u w:val="single"/>
        </w:rPr>
        <w:t>)</w:t>
      </w:r>
    </w:p>
    <w:p w:rsidR="001D5EA3" w:rsidRPr="009B3436" w:rsidRDefault="001D5EA3" w:rsidP="001D5EA3">
      <w:pPr>
        <w:rPr>
          <w:sz w:val="22"/>
          <w:szCs w:val="22"/>
        </w:rPr>
      </w:pPr>
      <w:r w:rsidRPr="009B3436">
        <w:rPr>
          <w:sz w:val="22"/>
          <w:szCs w:val="22"/>
        </w:rPr>
        <w:t xml:space="preserve">Introduttore femorale </w:t>
      </w:r>
      <w:r>
        <w:rPr>
          <w:sz w:val="22"/>
          <w:szCs w:val="22"/>
        </w:rPr>
        <w:t xml:space="preserve">6Fr e </w:t>
      </w:r>
      <w:r w:rsidRPr="009B3436">
        <w:rPr>
          <w:sz w:val="22"/>
          <w:szCs w:val="22"/>
        </w:rPr>
        <w:t xml:space="preserve">7Fr, lunghezza </w:t>
      </w:r>
      <w:r>
        <w:rPr>
          <w:sz w:val="22"/>
          <w:szCs w:val="22"/>
        </w:rPr>
        <w:t xml:space="preserve">non superiore a </w:t>
      </w:r>
      <w:r w:rsidRPr="009B3436">
        <w:rPr>
          <w:sz w:val="22"/>
          <w:szCs w:val="22"/>
        </w:rPr>
        <w:t>11cm, dotato di valvola emostatica, rubinetto 3 vie all’estremità prossimale della prolunga, anello di sutura e dilatatore con attacco, sterile, monouso</w:t>
      </w:r>
    </w:p>
    <w:p w:rsidR="001D5EA3" w:rsidRDefault="001D5EA3" w:rsidP="003A03EA">
      <w:pPr>
        <w:ind w:left="360" w:rightChars="-41" w:right="-98"/>
        <w:rPr>
          <w:color w:val="000000"/>
          <w:sz w:val="22"/>
          <w:szCs w:val="22"/>
          <w:u w:val="single"/>
        </w:rPr>
      </w:pPr>
    </w:p>
    <w:p w:rsidR="001D5EA3" w:rsidRPr="001D5EA3" w:rsidRDefault="001D5EA3" w:rsidP="001D5EA3">
      <w:pPr>
        <w:ind w:left="360" w:rightChars="-41" w:right="-98"/>
        <w:rPr>
          <w:color w:val="000000"/>
          <w:sz w:val="22"/>
          <w:szCs w:val="22"/>
          <w:u w:val="single"/>
        </w:rPr>
      </w:pPr>
      <w:r w:rsidRPr="001D5EA3">
        <w:rPr>
          <w:color w:val="000000"/>
          <w:sz w:val="22"/>
          <w:szCs w:val="22"/>
          <w:u w:val="single"/>
        </w:rPr>
        <w:t>Fabbisogno biennale</w:t>
      </w:r>
      <w:r>
        <w:rPr>
          <w:color w:val="000000"/>
          <w:sz w:val="22"/>
          <w:szCs w:val="22"/>
          <w:u w:val="single"/>
        </w:rPr>
        <w:t xml:space="preserve"> complessivo</w:t>
      </w:r>
      <w:r w:rsidRPr="001D5EA3">
        <w:rPr>
          <w:color w:val="000000"/>
          <w:sz w:val="22"/>
          <w:szCs w:val="22"/>
          <w:u w:val="single"/>
        </w:rPr>
        <w:t xml:space="preserve"> previsto: </w:t>
      </w:r>
      <w:r>
        <w:rPr>
          <w:color w:val="000000"/>
          <w:sz w:val="22"/>
          <w:szCs w:val="22"/>
          <w:u w:val="single"/>
        </w:rPr>
        <w:t>420</w:t>
      </w:r>
      <w:r w:rsidRPr="001D5EA3">
        <w:rPr>
          <w:color w:val="000000"/>
          <w:sz w:val="22"/>
          <w:szCs w:val="22"/>
          <w:u w:val="single"/>
        </w:rPr>
        <w:t xml:space="preserve"> pz.</w:t>
      </w:r>
    </w:p>
    <w:p w:rsidR="00EC1727" w:rsidRPr="00085BE7" w:rsidRDefault="00EC1727" w:rsidP="003A03EA">
      <w:pPr>
        <w:ind w:left="360" w:rightChars="-41" w:right="-98"/>
        <w:rPr>
          <w:bCs/>
          <w:noProof/>
          <w:spacing w:val="-1"/>
          <w:sz w:val="22"/>
          <w:szCs w:val="22"/>
        </w:rPr>
      </w:pPr>
    </w:p>
    <w:p w:rsidR="006C5092" w:rsidRDefault="006C5092" w:rsidP="00703776">
      <w:pPr>
        <w:spacing w:line="276" w:lineRule="auto"/>
        <w:jc w:val="both"/>
        <w:rPr>
          <w:b/>
          <w:sz w:val="22"/>
          <w:szCs w:val="22"/>
        </w:rPr>
      </w:pPr>
    </w:p>
    <w:p w:rsidR="001D5EA3" w:rsidRPr="009B3436" w:rsidRDefault="001D5EA3" w:rsidP="001D5EA3">
      <w:pPr>
        <w:rPr>
          <w:b/>
          <w:bCs/>
          <w:sz w:val="22"/>
          <w:szCs w:val="22"/>
          <w:u w:val="single"/>
        </w:rPr>
      </w:pPr>
      <w:r>
        <w:rPr>
          <w:b/>
          <w:bCs/>
          <w:sz w:val="22"/>
          <w:szCs w:val="22"/>
          <w:u w:val="single"/>
        </w:rPr>
        <w:t>F</w:t>
      </w:r>
      <w:r w:rsidRPr="009B3436">
        <w:rPr>
          <w:b/>
          <w:bCs/>
          <w:sz w:val="22"/>
          <w:szCs w:val="22"/>
          <w:u w:val="single"/>
        </w:rPr>
        <w:t>ornitura in noleggio di:</w:t>
      </w:r>
    </w:p>
    <w:p w:rsidR="001D5EA3" w:rsidRDefault="001D5EA3" w:rsidP="001D5EA3">
      <w:pPr>
        <w:pStyle w:val="Paragrafoelenco"/>
        <w:spacing w:after="0" w:line="240" w:lineRule="auto"/>
        <w:ind w:left="284"/>
      </w:pPr>
      <w:r>
        <w:t>G</w:t>
      </w:r>
      <w:r w:rsidRPr="00A67676">
        <w:t xml:space="preserve">eneratore per termoablazione endovenosa </w:t>
      </w:r>
      <w:proofErr w:type="spellStart"/>
      <w:r w:rsidRPr="00A67676">
        <w:t>endo</w:t>
      </w:r>
      <w:proofErr w:type="spellEnd"/>
      <w:r w:rsidRPr="00A67676">
        <w:t xml:space="preserve">-luminale tramite induzione di radiofrequenza, radiofrequenza bipolare ad alta frequenza </w:t>
      </w:r>
      <w:proofErr w:type="spellStart"/>
      <w:r w:rsidRPr="00A67676">
        <w:rPr>
          <w:i/>
          <w:iCs/>
        </w:rPr>
        <w:t>all</w:t>
      </w:r>
      <w:proofErr w:type="spellEnd"/>
      <w:r w:rsidRPr="00A67676">
        <w:rPr>
          <w:i/>
          <w:iCs/>
        </w:rPr>
        <w:t>-in-</w:t>
      </w:r>
      <w:proofErr w:type="spellStart"/>
      <w:r w:rsidRPr="00A67676">
        <w:rPr>
          <w:i/>
          <w:iCs/>
        </w:rPr>
        <w:t>one</w:t>
      </w:r>
      <w:proofErr w:type="spellEnd"/>
      <w:r w:rsidRPr="00A67676">
        <w:t>, dotato di allarmi e feedback istantaneo su temperatura misurata, potenza erogata e tempo rimanente, funzionamento in modalità operativa sia di tipo segmentale che continua, operatore-indipendente, possibilità di differenziazione della potenza massima erogata per ridurre il rischio di danno ai nervi (in particolare in corso di trattamento della piccola safena)</w:t>
      </w:r>
    </w:p>
    <w:p w:rsidR="001D5EA3" w:rsidRPr="00A67676" w:rsidRDefault="001D5EA3" w:rsidP="001D5EA3">
      <w:pPr>
        <w:pStyle w:val="Paragrafoelenco"/>
        <w:spacing w:after="0" w:line="240" w:lineRule="auto"/>
        <w:ind w:left="284"/>
      </w:pPr>
    </w:p>
    <w:p w:rsidR="001D5EA3" w:rsidRPr="00A67676" w:rsidRDefault="001D5EA3" w:rsidP="001D5EA3">
      <w:pPr>
        <w:pStyle w:val="Paragrafoelenco"/>
        <w:spacing w:after="0" w:line="240" w:lineRule="auto"/>
        <w:ind w:left="284"/>
      </w:pPr>
      <w:r>
        <w:t>P</w:t>
      </w:r>
      <w:r w:rsidRPr="00A67676">
        <w:t xml:space="preserve">ompa </w:t>
      </w:r>
      <w:proofErr w:type="spellStart"/>
      <w:r w:rsidRPr="00A67676">
        <w:t>infusiva</w:t>
      </w:r>
      <w:proofErr w:type="spellEnd"/>
      <w:r w:rsidRPr="00A67676">
        <w:t xml:space="preserve"> peristaltica, universale e regolabile, comandabile mediante pedaliera, adatta nelle applicazioni tumescenti (in grado di effettuare una tumescenza </w:t>
      </w:r>
      <w:proofErr w:type="spellStart"/>
      <w:r w:rsidRPr="00A67676">
        <w:t>perivenosa</w:t>
      </w:r>
      <w:proofErr w:type="spellEnd"/>
      <w:r w:rsidRPr="00A67676">
        <w:t xml:space="preserve"> in modo costante e uniforme, anche in presenza di un solo operatore)</w:t>
      </w:r>
    </w:p>
    <w:p w:rsidR="001D5EA3" w:rsidRDefault="001D5EA3" w:rsidP="001D5EA3">
      <w:pPr>
        <w:rPr>
          <w:b/>
          <w:bCs/>
          <w:sz w:val="22"/>
          <w:szCs w:val="22"/>
          <w:u w:val="single"/>
        </w:rPr>
      </w:pPr>
    </w:p>
    <w:p w:rsidR="001D5EA3" w:rsidRPr="009B3436" w:rsidRDefault="001D5EA3" w:rsidP="001D5EA3">
      <w:pPr>
        <w:rPr>
          <w:sz w:val="22"/>
          <w:szCs w:val="22"/>
        </w:rPr>
      </w:pPr>
      <w:r w:rsidRPr="009B3436">
        <w:rPr>
          <w:b/>
          <w:bCs/>
          <w:sz w:val="22"/>
          <w:szCs w:val="22"/>
          <w:u w:val="single"/>
        </w:rPr>
        <w:t>Indicazione d'uso</w:t>
      </w:r>
      <w:r>
        <w:rPr>
          <w:b/>
          <w:bCs/>
          <w:sz w:val="22"/>
          <w:szCs w:val="22"/>
          <w:u w:val="single"/>
        </w:rPr>
        <w:t>:</w:t>
      </w:r>
      <w:r w:rsidRPr="009B3436">
        <w:rPr>
          <w:sz w:val="22"/>
          <w:szCs w:val="22"/>
        </w:rPr>
        <w:t xml:space="preserve"> trattamento dell'insufficienza venosa, con possibilità di trattare segmenti di vena fino a 7cm</w:t>
      </w:r>
    </w:p>
    <w:p w:rsidR="001D5EA3" w:rsidRDefault="001D5EA3" w:rsidP="00703776">
      <w:pPr>
        <w:spacing w:line="276" w:lineRule="auto"/>
        <w:jc w:val="both"/>
        <w:rPr>
          <w:b/>
          <w:sz w:val="22"/>
          <w:szCs w:val="22"/>
        </w:rPr>
      </w:pPr>
    </w:p>
    <w:p w:rsidR="00A61215" w:rsidRPr="00085BE7" w:rsidRDefault="007A3262" w:rsidP="00703776">
      <w:pPr>
        <w:spacing w:line="276" w:lineRule="auto"/>
        <w:jc w:val="both"/>
        <w:rPr>
          <w:b/>
          <w:color w:val="000000"/>
          <w:sz w:val="22"/>
          <w:szCs w:val="22"/>
        </w:rPr>
      </w:pPr>
      <w:r w:rsidRPr="00085BE7">
        <w:rPr>
          <w:b/>
          <w:color w:val="000000"/>
          <w:sz w:val="22"/>
          <w:szCs w:val="22"/>
        </w:rPr>
        <w:t>A</w:t>
      </w:r>
      <w:r w:rsidR="00A61215" w:rsidRPr="00085BE7">
        <w:rPr>
          <w:b/>
          <w:color w:val="000000"/>
          <w:sz w:val="22"/>
          <w:szCs w:val="22"/>
        </w:rPr>
        <w:t xml:space="preserve">RT. </w:t>
      </w:r>
      <w:r w:rsidR="00611F84" w:rsidRPr="00085BE7">
        <w:rPr>
          <w:b/>
          <w:color w:val="000000"/>
          <w:sz w:val="22"/>
          <w:szCs w:val="22"/>
        </w:rPr>
        <w:t>3</w:t>
      </w:r>
      <w:r w:rsidR="00A61215" w:rsidRPr="00085BE7">
        <w:rPr>
          <w:b/>
          <w:color w:val="000000"/>
          <w:sz w:val="22"/>
          <w:szCs w:val="22"/>
        </w:rPr>
        <w:t xml:space="preserve"> CARATTERISTICHE </w:t>
      </w:r>
      <w:r w:rsidR="001A507F" w:rsidRPr="00085BE7">
        <w:rPr>
          <w:b/>
          <w:color w:val="000000"/>
          <w:sz w:val="22"/>
          <w:szCs w:val="22"/>
        </w:rPr>
        <w:t xml:space="preserve">TECNICHE </w:t>
      </w:r>
      <w:r w:rsidR="00A61215" w:rsidRPr="00085BE7">
        <w:rPr>
          <w:b/>
          <w:color w:val="000000"/>
          <w:sz w:val="22"/>
          <w:szCs w:val="22"/>
        </w:rPr>
        <w:t xml:space="preserve">GENERALI    </w:t>
      </w:r>
    </w:p>
    <w:p w:rsidR="00924999" w:rsidRPr="00085BE7" w:rsidRDefault="00924999" w:rsidP="00703776">
      <w:pPr>
        <w:pStyle w:val="Default"/>
        <w:spacing w:line="276" w:lineRule="auto"/>
        <w:jc w:val="both"/>
        <w:rPr>
          <w:rFonts w:ascii="Times New Roman" w:hAnsi="Times New Roman" w:cs="Times New Roman"/>
          <w:b/>
          <w:i/>
          <w:sz w:val="22"/>
          <w:szCs w:val="22"/>
        </w:rPr>
      </w:pPr>
      <w:r w:rsidRPr="00085BE7">
        <w:rPr>
          <w:rFonts w:ascii="Times New Roman" w:hAnsi="Times New Roman" w:cs="Times New Roman"/>
          <w:b/>
          <w:bCs/>
          <w:i/>
          <w:iCs/>
          <w:sz w:val="22"/>
          <w:szCs w:val="22"/>
        </w:rPr>
        <w:t xml:space="preserve">Specifiche tecniche minime  </w:t>
      </w:r>
    </w:p>
    <w:p w:rsidR="00924999" w:rsidRPr="00085BE7" w:rsidRDefault="00924999" w:rsidP="00703776">
      <w:pPr>
        <w:pStyle w:val="Default"/>
        <w:spacing w:before="120" w:line="276" w:lineRule="auto"/>
        <w:jc w:val="both"/>
        <w:rPr>
          <w:rFonts w:ascii="Times New Roman" w:hAnsi="Times New Roman" w:cs="Times New Roman"/>
          <w:sz w:val="22"/>
          <w:szCs w:val="22"/>
        </w:rPr>
      </w:pPr>
      <w:r w:rsidRPr="00085BE7">
        <w:rPr>
          <w:rFonts w:ascii="Times New Roman" w:hAnsi="Times New Roman" w:cs="Times New Roman"/>
          <w:sz w:val="22"/>
          <w:szCs w:val="22"/>
        </w:rPr>
        <w:t xml:space="preserve">I prodotti oggetto della presente fornitura devono essere conformi alle norme vigenti in campo nazionale e comunitario per quanto concerne le autorizzazioni alla produzione, all’importazione, all’immissione in commercio e all’uso e dovranno rispondere ai requisiti previsti dalle disposizioni vigenti in materia all’atto dell’offerta, nonché ad ogni altro eventuale provvedimento emanato durante la fornitura. </w:t>
      </w:r>
    </w:p>
    <w:p w:rsidR="00924999" w:rsidRPr="00085BE7" w:rsidRDefault="00924999" w:rsidP="00703776">
      <w:pPr>
        <w:pStyle w:val="Default"/>
        <w:spacing w:before="120" w:line="276" w:lineRule="auto"/>
        <w:jc w:val="both"/>
        <w:rPr>
          <w:rFonts w:ascii="Times New Roman" w:hAnsi="Times New Roman" w:cs="Times New Roman"/>
          <w:sz w:val="22"/>
          <w:szCs w:val="22"/>
        </w:rPr>
      </w:pPr>
      <w:r w:rsidRPr="00085BE7">
        <w:rPr>
          <w:rFonts w:ascii="Times New Roman" w:hAnsi="Times New Roman" w:cs="Times New Roman"/>
          <w:sz w:val="22"/>
          <w:szCs w:val="22"/>
        </w:rPr>
        <w:t xml:space="preserve">In particolare i prodotti dovranno: </w:t>
      </w:r>
    </w:p>
    <w:p w:rsidR="00924999" w:rsidRPr="00085BE7" w:rsidRDefault="00924999" w:rsidP="00703776">
      <w:pPr>
        <w:pStyle w:val="Default"/>
        <w:spacing w:before="120" w:line="276" w:lineRule="auto"/>
        <w:jc w:val="both"/>
        <w:rPr>
          <w:rFonts w:ascii="Times New Roman" w:hAnsi="Times New Roman" w:cs="Times New Roman"/>
          <w:sz w:val="22"/>
          <w:szCs w:val="22"/>
        </w:rPr>
      </w:pPr>
      <w:r w:rsidRPr="00085BE7">
        <w:rPr>
          <w:rFonts w:ascii="Times New Roman" w:hAnsi="Times New Roman" w:cs="Times New Roman"/>
          <w:sz w:val="22"/>
          <w:szCs w:val="22"/>
        </w:rPr>
        <w:t xml:space="preserve">- essere rispondenti alla descrizione generale indicata per ciascuna tipologia di prodotto; </w:t>
      </w:r>
    </w:p>
    <w:p w:rsidR="00924999" w:rsidRPr="00085BE7" w:rsidRDefault="00924999" w:rsidP="00703776">
      <w:pPr>
        <w:pStyle w:val="Default"/>
        <w:spacing w:before="120" w:line="276" w:lineRule="auto"/>
        <w:jc w:val="both"/>
        <w:rPr>
          <w:rFonts w:ascii="Times New Roman" w:hAnsi="Times New Roman" w:cs="Times New Roman"/>
          <w:sz w:val="22"/>
          <w:szCs w:val="22"/>
        </w:rPr>
      </w:pPr>
      <w:r w:rsidRPr="00085BE7">
        <w:rPr>
          <w:rFonts w:ascii="Times New Roman" w:hAnsi="Times New Roman" w:cs="Times New Roman"/>
          <w:sz w:val="22"/>
          <w:szCs w:val="22"/>
        </w:rPr>
        <w:t xml:space="preserve">- per i prodotti classificati come dispositivi medici, essere conformi ai requisiti stabiliti dal Regolamento (UE) 2017/745 del 5 aprile 2017 relativo ai dispositivi medici (MDR) e successivi provvedimenti attuativi adottati a livello nazionale o, in alternativa, fino al 26 maggio 2025, conformi ai requisiti stabiliti dalla Direttiva CEE 93/42 relativa alla marcatura CE, come modificata dalla Direttiva 2007/47/CE, recepita con D.lgs. 46/97 e </w:t>
      </w:r>
      <w:proofErr w:type="spellStart"/>
      <w:r w:rsidRPr="00085BE7">
        <w:rPr>
          <w:rFonts w:ascii="Times New Roman" w:hAnsi="Times New Roman" w:cs="Times New Roman"/>
          <w:sz w:val="22"/>
          <w:szCs w:val="22"/>
        </w:rPr>
        <w:t>s.m.i.</w:t>
      </w:r>
      <w:proofErr w:type="spellEnd"/>
      <w:r w:rsidRPr="00085BE7">
        <w:rPr>
          <w:rFonts w:ascii="Times New Roman" w:hAnsi="Times New Roman" w:cs="Times New Roman"/>
          <w:sz w:val="22"/>
          <w:szCs w:val="22"/>
        </w:rPr>
        <w:t xml:space="preserve"> e modificato con il </w:t>
      </w:r>
      <w:proofErr w:type="spellStart"/>
      <w:proofErr w:type="gramStart"/>
      <w:r w:rsidRPr="00085BE7">
        <w:rPr>
          <w:rFonts w:ascii="Times New Roman" w:hAnsi="Times New Roman" w:cs="Times New Roman"/>
          <w:sz w:val="22"/>
          <w:szCs w:val="22"/>
        </w:rPr>
        <w:t>D.Lgs</w:t>
      </w:r>
      <w:proofErr w:type="gramEnd"/>
      <w:r w:rsidRPr="00085BE7">
        <w:rPr>
          <w:rFonts w:ascii="Times New Roman" w:hAnsi="Times New Roman" w:cs="Times New Roman"/>
          <w:sz w:val="22"/>
          <w:szCs w:val="22"/>
        </w:rPr>
        <w:t>.</w:t>
      </w:r>
      <w:proofErr w:type="spellEnd"/>
      <w:r w:rsidRPr="00085BE7">
        <w:rPr>
          <w:rFonts w:ascii="Times New Roman" w:hAnsi="Times New Roman" w:cs="Times New Roman"/>
          <w:sz w:val="22"/>
          <w:szCs w:val="22"/>
        </w:rPr>
        <w:t xml:space="preserve"> n. 37/2010;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sz w:val="22"/>
          <w:szCs w:val="22"/>
        </w:rPr>
        <w:t xml:space="preserve">- essere conformi ai requisiti previsti dalle disposizioni legislative, regolamentari e tecniche, comunitarie e nazionali, disciplinanti i prodotti oggetto della fornitura, nonché essere in possesso </w:t>
      </w:r>
      <w:r w:rsidRPr="00085BE7">
        <w:rPr>
          <w:rFonts w:ascii="Times New Roman" w:hAnsi="Times New Roman" w:cs="Times New Roman"/>
          <w:color w:val="auto"/>
          <w:sz w:val="22"/>
          <w:szCs w:val="22"/>
        </w:rPr>
        <w:t xml:space="preserve">delle autorizzazioni alla produzione, all’importazione ed alla immissione in commercio e all’uso, e rispondere ai requisiti previsti dalle disposizioni vigenti in materia all’atto dell’offerta e a tutti quegli eventuali ulteriori requisiti che venissero </w:t>
      </w:r>
      <w:r w:rsidRPr="00085BE7">
        <w:rPr>
          <w:rFonts w:ascii="Times New Roman" w:hAnsi="Times New Roman" w:cs="Times New Roman"/>
          <w:color w:val="auto"/>
          <w:sz w:val="22"/>
          <w:szCs w:val="22"/>
        </w:rPr>
        <w:lastRenderedPageBreak/>
        <w:t xml:space="preserve">emanati nel corso della durata della convenzione-quadro e dell’analogo documento contrattuale stipulato all’esito della presente procedura;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 se soggetti a scadenza, presentare all’atto della consegna, una validità o una vita utile residua del prodotto (in confezione integra) non inferiore a 2/3 (due terzi) della loro vita;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 rispettare le prescrizioni su confezionamento ed imballaggio di cui al successivo paragrafo dedicato;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 </w:t>
      </w:r>
      <w:r w:rsidR="00FD2CA0" w:rsidRPr="00085BE7">
        <w:rPr>
          <w:rFonts w:ascii="Times New Roman" w:hAnsi="Times New Roman" w:cs="Times New Roman"/>
          <w:color w:val="auto"/>
          <w:sz w:val="22"/>
          <w:szCs w:val="22"/>
        </w:rPr>
        <w:t xml:space="preserve">essere iscritti al repertorio nazionale dei DM e tale iscrizione deve esser specificata per ogni prodotto offerto analogamente al CND nell’offerta tecnica; </w:t>
      </w:r>
      <w:r w:rsidRPr="00085BE7">
        <w:rPr>
          <w:rFonts w:ascii="Times New Roman" w:hAnsi="Times New Roman" w:cs="Times New Roman"/>
          <w:color w:val="auto"/>
          <w:sz w:val="22"/>
          <w:szCs w:val="22"/>
        </w:rPr>
        <w:t>nella relativa scheda tecnica dovrà essere indicato il codice CND e il numero di registrazione al Repertorio generale dei dispositivi medici commercializzati in Italia (RDM), c</w:t>
      </w:r>
      <w:r w:rsidR="000D2BEB" w:rsidRPr="00085BE7">
        <w:rPr>
          <w:rFonts w:ascii="Times New Roman" w:hAnsi="Times New Roman" w:cs="Times New Roman"/>
          <w:color w:val="auto"/>
          <w:sz w:val="22"/>
          <w:szCs w:val="22"/>
        </w:rPr>
        <w:t>ome disposto dal DM 20/02/2010;</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L’operatore economico deve essere, altresì, in possesso di tutte le certificazioni e/o autorizzazioni previste dalla normativa vigente. Qualora, nel corso della validità del contratto, si verificasse l’emanazione di disposizioni normative cogenti, statali e/o comunitarie, per quanto attiene le autorizzazioni alla produzione, importazione ed immissione in commercio, nonché la disciplina dei requisiti tecnici e/o regolamentari relativamente ai prodotti oggetto della fornitura, o qualsiasi altra disposizione vigente in materia, l’operatore economico è tenuto a conformare la qualità dei prodotti forniti alla sopravvenuta normativa, senza alcun aumento di prezzo nonché a sostituire, a proprio onere e spese, qualora ne fosse vietato l’uso, le eventuali rimanenze di prodotti non conformi consegnati e giacenti in confezioni integre.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Ogni e qualsiasi responsabilità per ciò che riguarda le caratteristiche dei prodotti offerti, nonché ogni eventuale inconveniente e danno provocato dal loro corretto impiego, resta a totale e completo carico dell’operatore economico che, rendendosene garante, sarà tenuto all’osservanza, oltre che di tutte le leggi e regolamenti vigenti in materia al momento dell’aggiudicazione, anche di quelle che potrebbero essere emanate, durante tutto il periodo contrattuale, da parte delle competenti autorità per la produzione, il confezionamento la distribuzione ed il recapito di quanto oggetto della fornitura.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b/>
          <w:bCs/>
          <w:i/>
          <w:iCs/>
          <w:color w:val="auto"/>
          <w:sz w:val="22"/>
          <w:szCs w:val="22"/>
        </w:rPr>
        <w:t xml:space="preserve">Specifiche tecniche indispensabili relative al confezionamento ed etichettatura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Il confezionamento e l’etichettatura dovranno essere conformi, ove i prodotti siano dispositivi medici, alla normativa vigente (ai requisiti e alle prescrizioni risultanti dal Regolamento (UE) 2017/746 del 5 aprile 2017 relativo ai dispositivi medici (IVDR) e successivi provvedimenti attuativi adottati a livello nazionale. Fino al 27 maggio 2025 saranno accettate anche etichettature conformi al </w:t>
      </w:r>
      <w:proofErr w:type="spellStart"/>
      <w:proofErr w:type="gramStart"/>
      <w:r w:rsidRPr="00085BE7">
        <w:rPr>
          <w:rFonts w:ascii="Times New Roman" w:hAnsi="Times New Roman" w:cs="Times New Roman"/>
          <w:color w:val="auto"/>
          <w:sz w:val="22"/>
          <w:szCs w:val="22"/>
        </w:rPr>
        <w:t>D.Lgs</w:t>
      </w:r>
      <w:proofErr w:type="gramEnd"/>
      <w:r w:rsidRPr="00085BE7">
        <w:rPr>
          <w:rFonts w:ascii="Times New Roman" w:hAnsi="Times New Roman" w:cs="Times New Roman"/>
          <w:color w:val="auto"/>
          <w:sz w:val="22"/>
          <w:szCs w:val="22"/>
        </w:rPr>
        <w:t>.</w:t>
      </w:r>
      <w:proofErr w:type="spellEnd"/>
      <w:r w:rsidRPr="00085BE7">
        <w:rPr>
          <w:rFonts w:ascii="Times New Roman" w:hAnsi="Times New Roman" w:cs="Times New Roman"/>
          <w:color w:val="auto"/>
          <w:sz w:val="22"/>
          <w:szCs w:val="22"/>
        </w:rPr>
        <w:t xml:space="preserve"> n. 46/1997 e relativi allegati, come modificato dal </w:t>
      </w:r>
      <w:proofErr w:type="spellStart"/>
      <w:proofErr w:type="gramStart"/>
      <w:r w:rsidRPr="00085BE7">
        <w:rPr>
          <w:rFonts w:ascii="Times New Roman" w:hAnsi="Times New Roman" w:cs="Times New Roman"/>
          <w:color w:val="auto"/>
          <w:sz w:val="22"/>
          <w:szCs w:val="22"/>
        </w:rPr>
        <w:t>D.Lgs</w:t>
      </w:r>
      <w:proofErr w:type="gramEnd"/>
      <w:r w:rsidRPr="00085BE7">
        <w:rPr>
          <w:rFonts w:ascii="Times New Roman" w:hAnsi="Times New Roman" w:cs="Times New Roman"/>
          <w:color w:val="auto"/>
          <w:sz w:val="22"/>
          <w:szCs w:val="22"/>
        </w:rPr>
        <w:t>.</w:t>
      </w:r>
      <w:proofErr w:type="spellEnd"/>
      <w:r w:rsidRPr="00085BE7">
        <w:rPr>
          <w:rFonts w:ascii="Times New Roman" w:hAnsi="Times New Roman" w:cs="Times New Roman"/>
          <w:color w:val="auto"/>
          <w:sz w:val="22"/>
          <w:szCs w:val="22"/>
        </w:rPr>
        <w:t xml:space="preserve"> n. 37/2010.) </w:t>
      </w: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color w:val="auto"/>
          <w:sz w:val="22"/>
          <w:szCs w:val="22"/>
        </w:rPr>
        <w:t xml:space="preserve">Nel caso in cui la sterilizzazione sia avvenuta mediante utilizzo del metodo a ossido di etilene, questa dovrà essere conforme ai requisiti previsti dalla norma ISO UNI EN 11135:2000 “Sterilizzazione dei prodotti sanitari - Ossido di etilene - Requisiti per lo sviluppo, la convalida e il controllo sistematico di un processo di sterilizzazione per dispositivi medici” e alla norma UNI EN ISO 10993-7 “Valutazione biologica dei dispositivi medici - Parte 7: Residui di sterilizzazione a ossido di etilene (per i dispositivi sterilizzati con Ossido di etilene)”. </w:t>
      </w:r>
    </w:p>
    <w:p w:rsidR="00924999" w:rsidRPr="00085BE7" w:rsidRDefault="00924999" w:rsidP="00703776">
      <w:pPr>
        <w:overflowPunct w:val="0"/>
        <w:autoSpaceDE w:val="0"/>
        <w:spacing w:line="276" w:lineRule="auto"/>
        <w:jc w:val="both"/>
        <w:rPr>
          <w:b/>
          <w:bCs/>
          <w:i/>
          <w:iCs/>
          <w:sz w:val="22"/>
          <w:szCs w:val="22"/>
        </w:rPr>
      </w:pPr>
    </w:p>
    <w:p w:rsidR="00924999" w:rsidRPr="00085BE7" w:rsidRDefault="00924999" w:rsidP="00703776">
      <w:pPr>
        <w:pStyle w:val="Default"/>
        <w:spacing w:before="120" w:line="276" w:lineRule="auto"/>
        <w:jc w:val="both"/>
        <w:rPr>
          <w:rFonts w:ascii="Times New Roman" w:hAnsi="Times New Roman" w:cs="Times New Roman"/>
          <w:color w:val="auto"/>
          <w:sz w:val="22"/>
          <w:szCs w:val="22"/>
        </w:rPr>
      </w:pPr>
      <w:r w:rsidRPr="00085BE7">
        <w:rPr>
          <w:rFonts w:ascii="Times New Roman" w:hAnsi="Times New Roman" w:cs="Times New Roman"/>
          <w:b/>
          <w:bCs/>
          <w:i/>
          <w:iCs/>
          <w:color w:val="auto"/>
          <w:sz w:val="22"/>
          <w:szCs w:val="22"/>
        </w:rPr>
        <w:t xml:space="preserve">Specifiche tecniche indispensabili dei beni oggetto della fornitura </w:t>
      </w:r>
    </w:p>
    <w:p w:rsidR="00924999" w:rsidRPr="00085BE7" w:rsidRDefault="00924999" w:rsidP="00703776">
      <w:pPr>
        <w:pStyle w:val="Default"/>
        <w:spacing w:before="120" w:line="276" w:lineRule="auto"/>
        <w:jc w:val="both"/>
        <w:rPr>
          <w:rFonts w:ascii="Times New Roman" w:hAnsi="Times New Roman" w:cs="Times New Roman"/>
          <w:b/>
          <w:bCs/>
          <w:color w:val="auto"/>
          <w:sz w:val="22"/>
          <w:szCs w:val="22"/>
        </w:rPr>
      </w:pPr>
      <w:r w:rsidRPr="00085BE7">
        <w:rPr>
          <w:rFonts w:ascii="Times New Roman" w:hAnsi="Times New Roman" w:cs="Times New Roman"/>
          <w:color w:val="auto"/>
          <w:sz w:val="22"/>
          <w:szCs w:val="22"/>
        </w:rPr>
        <w:t xml:space="preserve">I beni offerti dovranno possedere le caratteristiche tecniche indicate, da intendersi richieste a pena di inammissibilità dell’offerta alla procedura, fermo il principio di equivalenza. </w:t>
      </w:r>
      <w:r w:rsidRPr="00085BE7">
        <w:rPr>
          <w:rFonts w:ascii="Times New Roman" w:hAnsi="Times New Roman" w:cs="Times New Roman"/>
          <w:b/>
          <w:bCs/>
          <w:color w:val="auto"/>
          <w:sz w:val="22"/>
          <w:szCs w:val="22"/>
        </w:rPr>
        <w:t xml:space="preserve">Tutti i prodotti offerti dovranno essere latex free. </w:t>
      </w:r>
    </w:p>
    <w:p w:rsidR="001A507F" w:rsidRPr="00085BE7" w:rsidRDefault="001A507F" w:rsidP="00703776">
      <w:pPr>
        <w:pStyle w:val="Corpotesto"/>
        <w:spacing w:line="276" w:lineRule="auto"/>
        <w:jc w:val="both"/>
        <w:rPr>
          <w:b/>
          <w:bCs/>
          <w:sz w:val="22"/>
          <w:szCs w:val="22"/>
        </w:rPr>
      </w:pPr>
      <w:r w:rsidRPr="00085BE7">
        <w:rPr>
          <w:b/>
          <w:bCs/>
          <w:sz w:val="22"/>
          <w:szCs w:val="22"/>
        </w:rPr>
        <w:t xml:space="preserve">Sarà possibile presentare offerte tecniche per </w:t>
      </w:r>
      <w:r w:rsidR="00953A03" w:rsidRPr="00085BE7">
        <w:rPr>
          <w:b/>
          <w:bCs/>
          <w:sz w:val="22"/>
          <w:szCs w:val="22"/>
        </w:rPr>
        <w:t>dispositivi c</w:t>
      </w:r>
      <w:r w:rsidRPr="00085BE7">
        <w:rPr>
          <w:b/>
          <w:bCs/>
          <w:sz w:val="22"/>
          <w:szCs w:val="22"/>
        </w:rPr>
        <w:t xml:space="preserve">ompatibili, </w:t>
      </w:r>
      <w:proofErr w:type="spellStart"/>
      <w:r w:rsidRPr="00085BE7">
        <w:rPr>
          <w:b/>
          <w:bCs/>
          <w:sz w:val="22"/>
          <w:szCs w:val="22"/>
        </w:rPr>
        <w:t>purchè</w:t>
      </w:r>
      <w:proofErr w:type="spellEnd"/>
      <w:r w:rsidRPr="00085BE7">
        <w:rPr>
          <w:b/>
          <w:bCs/>
          <w:sz w:val="22"/>
          <w:szCs w:val="22"/>
        </w:rPr>
        <w:t xml:space="preserve"> accompagnate da apposita dichiarazione rilasciata dalla Ditta produttrice attestante l’equivalenza funzionale dei prodotti stessi.</w:t>
      </w:r>
    </w:p>
    <w:p w:rsidR="00117CFD" w:rsidRDefault="001A507F" w:rsidP="00557F9C">
      <w:pPr>
        <w:pStyle w:val="Corpotesto"/>
        <w:spacing w:line="276" w:lineRule="auto"/>
        <w:jc w:val="both"/>
        <w:rPr>
          <w:b/>
          <w:bCs/>
          <w:sz w:val="22"/>
          <w:szCs w:val="22"/>
        </w:rPr>
      </w:pPr>
      <w:r w:rsidRPr="00085BE7">
        <w:rPr>
          <w:b/>
          <w:bCs/>
          <w:sz w:val="22"/>
          <w:szCs w:val="22"/>
        </w:rPr>
        <w:t xml:space="preserve">Potrà essere eventualmente richiesta idonea campionatura </w:t>
      </w:r>
      <w:r w:rsidR="00953A03" w:rsidRPr="00085BE7">
        <w:rPr>
          <w:b/>
          <w:bCs/>
          <w:sz w:val="22"/>
          <w:szCs w:val="22"/>
        </w:rPr>
        <w:t>per la verifica della conformità dei prodotti offerti.</w:t>
      </w:r>
    </w:p>
    <w:p w:rsidR="00EC1727" w:rsidRDefault="00EC1727" w:rsidP="00557F9C">
      <w:pPr>
        <w:pStyle w:val="Corpotesto"/>
        <w:spacing w:line="276" w:lineRule="auto"/>
        <w:jc w:val="both"/>
        <w:rPr>
          <w:b/>
          <w:bCs/>
          <w:sz w:val="22"/>
          <w:szCs w:val="22"/>
        </w:rPr>
      </w:pPr>
    </w:p>
    <w:sectPr w:rsidR="00EC1727">
      <w:footerReference w:type="default" r:id="rId9"/>
      <w:pgSz w:w="11906" w:h="16838"/>
      <w:pgMar w:top="1418"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C69" w:rsidRDefault="005C2C69" w:rsidP="00C91F8C">
      <w:r>
        <w:separator/>
      </w:r>
    </w:p>
  </w:endnote>
  <w:endnote w:type="continuationSeparator" w:id="0">
    <w:p w:rsidR="005C2C69" w:rsidRDefault="005C2C69" w:rsidP="00C9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69495"/>
      <w:docPartObj>
        <w:docPartGallery w:val="Page Numbers (Bottom of Page)"/>
        <w:docPartUnique/>
      </w:docPartObj>
    </w:sdtPr>
    <w:sdtEndPr/>
    <w:sdtContent>
      <w:p w:rsidR="00F83D0E" w:rsidRDefault="00F83D0E">
        <w:pPr>
          <w:pStyle w:val="Pidipagina"/>
          <w:jc w:val="right"/>
        </w:pPr>
        <w:r>
          <w:fldChar w:fldCharType="begin"/>
        </w:r>
        <w:r>
          <w:instrText>PAGE   \* MERGEFORMAT</w:instrText>
        </w:r>
        <w:r>
          <w:fldChar w:fldCharType="separate"/>
        </w:r>
        <w:r w:rsidR="00DA7EFB">
          <w:rPr>
            <w:noProof/>
          </w:rPr>
          <w:t>2</w:t>
        </w:r>
        <w:r>
          <w:fldChar w:fldCharType="end"/>
        </w:r>
      </w:p>
    </w:sdtContent>
  </w:sdt>
  <w:p w:rsidR="00F83D0E" w:rsidRDefault="00F83D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C69" w:rsidRDefault="005C2C69" w:rsidP="00C91F8C">
      <w:r>
        <w:separator/>
      </w:r>
    </w:p>
  </w:footnote>
  <w:footnote w:type="continuationSeparator" w:id="0">
    <w:p w:rsidR="005C2C69" w:rsidRDefault="005C2C69" w:rsidP="00C91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502" w:hanging="360"/>
      </w:pPr>
      <w:rPr>
        <w:rFonts w:ascii="Times New Roman" w:eastAsia="Times New Roman" w:hAnsi="Times New Roman" w:cs="Times New Roman" w:hint="default"/>
        <w:iCs/>
        <w:lang w:val="it-IT"/>
      </w:rPr>
    </w:lvl>
  </w:abstractNum>
  <w:abstractNum w:abstractNumId="2" w15:restartNumberingAfterBreak="0">
    <w:nsid w:val="00000004"/>
    <w:multiLevelType w:val="singleLevel"/>
    <w:tmpl w:val="00000004"/>
    <w:name w:val="WW8Num4"/>
    <w:lvl w:ilvl="0">
      <w:numFmt w:val="bullet"/>
      <w:lvlText w:val="-"/>
      <w:lvlJc w:val="left"/>
      <w:pPr>
        <w:tabs>
          <w:tab w:val="num" w:pos="357"/>
        </w:tabs>
        <w:ind w:left="357" w:hanging="357"/>
      </w:pPr>
      <w:rPr>
        <w:rFonts w:ascii="Times New Roman" w:hAnsi="Times New Roman"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1004"/>
        </w:tabs>
        <w:ind w:left="1004" w:hanging="360"/>
      </w:pPr>
      <w:rPr>
        <w:rFonts w:ascii="Symbol" w:hAnsi="Symbol" w:cs="Arial" w:hint="default"/>
        <w:lang w:val="it-IT"/>
      </w:rPr>
    </w:lvl>
  </w:abstractNum>
  <w:abstractNum w:abstractNumId="4" w15:restartNumberingAfterBreak="0">
    <w:nsid w:val="0000000D"/>
    <w:multiLevelType w:val="multilevel"/>
    <w:tmpl w:val="0000000D"/>
    <w:name w:val="WW8Num13"/>
    <w:lvl w:ilvl="0">
      <w:numFmt w:val="bullet"/>
      <w:lvlText w:val="-"/>
      <w:lvlJc w:val="left"/>
      <w:pPr>
        <w:tabs>
          <w:tab w:val="num" w:pos="0"/>
        </w:tabs>
        <w:ind w:left="720" w:hanging="360"/>
      </w:pPr>
      <w:rPr>
        <w:rFonts w:ascii="Times New Roman" w:hAnsi="Times New Roman" w:cs="Arial" w:hint="default"/>
        <w:lang w:val="it-IT"/>
      </w:rPr>
    </w:lvl>
    <w:lvl w:ilvl="1">
      <w:numFmt w:val="bullet"/>
      <w:lvlText w:val="•"/>
      <w:lvlJc w:val="left"/>
      <w:pPr>
        <w:tabs>
          <w:tab w:val="num" w:pos="0"/>
        </w:tabs>
        <w:ind w:left="1440" w:hanging="360"/>
      </w:pPr>
      <w:rPr>
        <w:rFonts w:ascii="Arial" w:hAnsi="Arial" w:cs="Courier New" w:hint="default"/>
        <w:lang w:val="it-I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Arial" w:hint="default"/>
        <w:b/>
      </w:rPr>
    </w:lvl>
  </w:abstractNum>
  <w:abstractNum w:abstractNumId="6"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Wingdings" w:hAnsi="Wingdings"/>
        <w:iCs/>
        <w:lang w:val="it-IT"/>
      </w:rPr>
    </w:lvl>
  </w:abstractNum>
  <w:abstractNum w:abstractNumId="7" w15:restartNumberingAfterBreak="0">
    <w:nsid w:val="00000012"/>
    <w:multiLevelType w:val="singleLevel"/>
    <w:tmpl w:val="00000012"/>
    <w:name w:val="WW8Num18"/>
    <w:lvl w:ilvl="0">
      <w:start w:val="1"/>
      <w:numFmt w:val="bullet"/>
      <w:lvlText w:val=""/>
      <w:lvlJc w:val="left"/>
      <w:pPr>
        <w:tabs>
          <w:tab w:val="num" w:pos="0"/>
        </w:tabs>
        <w:ind w:left="1004" w:hanging="360"/>
      </w:pPr>
      <w:rPr>
        <w:rFonts w:ascii="Symbol" w:hAnsi="Symbol" w:cs="Arial" w:hint="default"/>
        <w:iCs/>
        <w:sz w:val="22"/>
        <w:szCs w:val="22"/>
        <w:lang w:val="it-IT"/>
      </w:rPr>
    </w:lvl>
  </w:abstractNum>
  <w:abstractNum w:abstractNumId="8"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Arial"/>
        <w:b w:val="0"/>
        <w:i w:val="0"/>
        <w:iCs/>
        <w:caps w:val="0"/>
        <w:smallCaps w:val="0"/>
        <w:strike w:val="0"/>
        <w:dstrike w:val="0"/>
        <w:outline w:val="0"/>
        <w:shadow w:val="0"/>
        <w:vanish w:val="0"/>
        <w:position w:val="0"/>
        <w:sz w:val="18"/>
        <w:szCs w:val="22"/>
        <w:u w:val="none"/>
        <w:vertAlign w:val="baseline"/>
        <w:lang w:val="it-IT"/>
      </w:rPr>
    </w:lvl>
  </w:abstractNum>
  <w:abstractNum w:abstractNumId="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hint="default"/>
        <w:b/>
        <w:lang w:val="it-IT"/>
      </w:rPr>
    </w:lvl>
  </w:abstractNum>
  <w:abstractNum w:abstractNumId="10" w15:restartNumberingAfterBreak="0">
    <w:nsid w:val="062E4B60"/>
    <w:multiLevelType w:val="multilevel"/>
    <w:tmpl w:val="BC3CD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C344CAF"/>
    <w:multiLevelType w:val="hybridMultilevel"/>
    <w:tmpl w:val="DCD8FC3E"/>
    <w:lvl w:ilvl="0" w:tplc="C7A824B2">
      <w:start w:val="1"/>
      <w:numFmt w:val="bullet"/>
      <w:lvlText w:val="•"/>
      <w:lvlJc w:val="left"/>
      <w:pPr>
        <w:tabs>
          <w:tab w:val="num" w:pos="2161"/>
        </w:tabs>
        <w:ind w:left="2161" w:hanging="360"/>
      </w:pPr>
      <w:rPr>
        <w:rFonts w:ascii="Times New (W1)" w:hAnsi="Times New (W1)" w:hint="default"/>
        <w:color w:val="auto"/>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686CC2"/>
    <w:multiLevelType w:val="hybridMultilevel"/>
    <w:tmpl w:val="20B403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FD91DCB"/>
    <w:multiLevelType w:val="hybridMultilevel"/>
    <w:tmpl w:val="6750DB1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13107008"/>
    <w:multiLevelType w:val="hybridMultilevel"/>
    <w:tmpl w:val="7C38117C"/>
    <w:lvl w:ilvl="0" w:tplc="6858991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14942020"/>
    <w:multiLevelType w:val="hybridMultilevel"/>
    <w:tmpl w:val="6C46333E"/>
    <w:lvl w:ilvl="0" w:tplc="DEC83C3E">
      <w:start w:val="1"/>
      <w:numFmt w:val="lowerLetter"/>
      <w:lvlText w:val="%1)"/>
      <w:lvlJc w:val="left"/>
      <w:pPr>
        <w:ind w:left="720" w:hanging="360"/>
      </w:pPr>
      <w:rPr>
        <w:rFont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6A5D29"/>
    <w:multiLevelType w:val="multilevel"/>
    <w:tmpl w:val="E234A26A"/>
    <w:lvl w:ilvl="0">
      <w:numFmt w:val="bullet"/>
      <w:lvlText w:val="-"/>
      <w:lvlJc w:val="left"/>
      <w:pPr>
        <w:tabs>
          <w:tab w:val="num" w:pos="720"/>
        </w:tabs>
        <w:ind w:left="720" w:hanging="360"/>
      </w:pPr>
      <w:rPr>
        <w:rFonts w:ascii="Arial" w:hAnsi="Arial" w:hint="default"/>
        <w:color w:val="00000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Cs/>
        <w:shd w:val="clear" w:color="auto" w:fill="FF330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4CF4869"/>
    <w:multiLevelType w:val="hybridMultilevel"/>
    <w:tmpl w:val="81E8164C"/>
    <w:lvl w:ilvl="0" w:tplc="5A18C3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7496807"/>
    <w:multiLevelType w:val="hybridMultilevel"/>
    <w:tmpl w:val="3FB8D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8370E6"/>
    <w:multiLevelType w:val="hybridMultilevel"/>
    <w:tmpl w:val="81E8164C"/>
    <w:lvl w:ilvl="0" w:tplc="5A18C3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0B4A16"/>
    <w:multiLevelType w:val="hybridMultilevel"/>
    <w:tmpl w:val="FAA2AD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9B834AC"/>
    <w:multiLevelType w:val="hybridMultilevel"/>
    <w:tmpl w:val="F83807D4"/>
    <w:lvl w:ilvl="0" w:tplc="AED21CB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2F0C1B22"/>
    <w:multiLevelType w:val="hybridMultilevel"/>
    <w:tmpl w:val="5D62DB62"/>
    <w:lvl w:ilvl="0" w:tplc="7584BC20">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D20ADD"/>
    <w:multiLevelType w:val="hybridMultilevel"/>
    <w:tmpl w:val="185A9A38"/>
    <w:lvl w:ilvl="0" w:tplc="DC2076B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3BB48D7"/>
    <w:multiLevelType w:val="hybridMultilevel"/>
    <w:tmpl w:val="5052AC0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37A32412"/>
    <w:multiLevelType w:val="hybridMultilevel"/>
    <w:tmpl w:val="5822791C"/>
    <w:lvl w:ilvl="0" w:tplc="DCA6700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C000CA5"/>
    <w:multiLevelType w:val="hybridMultilevel"/>
    <w:tmpl w:val="934A0C30"/>
    <w:lvl w:ilvl="0" w:tplc="D6DAE598">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0A374DE"/>
    <w:multiLevelType w:val="hybridMultilevel"/>
    <w:tmpl w:val="C780246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437E6A7C"/>
    <w:multiLevelType w:val="hybridMultilevel"/>
    <w:tmpl w:val="81E8164C"/>
    <w:lvl w:ilvl="0" w:tplc="5A18C3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6823A2C"/>
    <w:multiLevelType w:val="hybridMultilevel"/>
    <w:tmpl w:val="B442F860"/>
    <w:lvl w:ilvl="0" w:tplc="D6DAE598">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6E920CE"/>
    <w:multiLevelType w:val="hybridMultilevel"/>
    <w:tmpl w:val="76D8A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EA70B7"/>
    <w:multiLevelType w:val="hybridMultilevel"/>
    <w:tmpl w:val="0CE8A49E"/>
    <w:lvl w:ilvl="0" w:tplc="E10E82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EE3DC3"/>
    <w:multiLevelType w:val="multilevel"/>
    <w:tmpl w:val="204A2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21E0809"/>
    <w:multiLevelType w:val="hybridMultilevel"/>
    <w:tmpl w:val="DBE6C8A6"/>
    <w:lvl w:ilvl="0" w:tplc="04100009">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24C76BB"/>
    <w:multiLevelType w:val="hybridMultilevel"/>
    <w:tmpl w:val="56C2E4AE"/>
    <w:lvl w:ilvl="0" w:tplc="558E7B4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77734B3"/>
    <w:multiLevelType w:val="hybridMultilevel"/>
    <w:tmpl w:val="EEDC3306"/>
    <w:lvl w:ilvl="0" w:tplc="558E7B4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9654DA1"/>
    <w:multiLevelType w:val="hybridMultilevel"/>
    <w:tmpl w:val="D2EA1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2C317A6"/>
    <w:multiLevelType w:val="hybridMultilevel"/>
    <w:tmpl w:val="CAE8AC70"/>
    <w:lvl w:ilvl="0" w:tplc="558E7B46">
      <w:numFmt w:val="bullet"/>
      <w:lvlText w:val="-"/>
      <w:lvlJc w:val="left"/>
      <w:pPr>
        <w:tabs>
          <w:tab w:val="num" w:pos="357"/>
        </w:tabs>
        <w:ind w:left="357" w:hanging="357"/>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71859A4"/>
    <w:multiLevelType w:val="hybridMultilevel"/>
    <w:tmpl w:val="4B9CFA3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9" w15:restartNumberingAfterBreak="0">
    <w:nsid w:val="74F821A8"/>
    <w:multiLevelType w:val="hybridMultilevel"/>
    <w:tmpl w:val="CB68E7B2"/>
    <w:lvl w:ilvl="0" w:tplc="50181A9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5A050F1"/>
    <w:multiLevelType w:val="hybridMultilevel"/>
    <w:tmpl w:val="F72CE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3"/>
  </w:num>
  <w:num w:numId="5">
    <w:abstractNumId w:val="34"/>
  </w:num>
  <w:num w:numId="6">
    <w:abstractNumId w:val="9"/>
  </w:num>
  <w:num w:numId="7">
    <w:abstractNumId w:val="8"/>
  </w:num>
  <w:num w:numId="8">
    <w:abstractNumId w:val="16"/>
  </w:num>
  <w:num w:numId="9">
    <w:abstractNumId w:val="3"/>
  </w:num>
  <w:num w:numId="10">
    <w:abstractNumId w:val="4"/>
  </w:num>
  <w:num w:numId="11">
    <w:abstractNumId w:val="5"/>
  </w:num>
  <w:num w:numId="12">
    <w:abstractNumId w:val="6"/>
  </w:num>
  <w:num w:numId="13">
    <w:abstractNumId w:val="7"/>
  </w:num>
  <w:num w:numId="14">
    <w:abstractNumId w:val="13"/>
  </w:num>
  <w:num w:numId="15">
    <w:abstractNumId w:val="21"/>
  </w:num>
  <w:num w:numId="16">
    <w:abstractNumId w:val="31"/>
  </w:num>
  <w:num w:numId="17">
    <w:abstractNumId w:val="19"/>
  </w:num>
  <w:num w:numId="18">
    <w:abstractNumId w:val="17"/>
  </w:num>
  <w:num w:numId="19">
    <w:abstractNumId w:val="28"/>
  </w:num>
  <w:num w:numId="20">
    <w:abstractNumId w:val="12"/>
  </w:num>
  <w:num w:numId="21">
    <w:abstractNumId w:val="36"/>
  </w:num>
  <w:num w:numId="22">
    <w:abstractNumId w:val="27"/>
  </w:num>
  <w:num w:numId="23">
    <w:abstractNumId w:val="25"/>
  </w:num>
  <w:num w:numId="24">
    <w:abstractNumId w:val="29"/>
  </w:num>
  <w:num w:numId="25">
    <w:abstractNumId w:val="26"/>
  </w:num>
  <w:num w:numId="26">
    <w:abstractNumId w:val="15"/>
  </w:num>
  <w:num w:numId="27">
    <w:abstractNumId w:val="24"/>
  </w:num>
  <w:num w:numId="28">
    <w:abstractNumId w:val="38"/>
  </w:num>
  <w:num w:numId="29">
    <w:abstractNumId w:val="30"/>
  </w:num>
  <w:num w:numId="30">
    <w:abstractNumId w:val="11"/>
  </w:num>
  <w:num w:numId="31">
    <w:abstractNumId w:val="40"/>
  </w:num>
  <w:num w:numId="32">
    <w:abstractNumId w:val="18"/>
  </w:num>
  <w:num w:numId="33">
    <w:abstractNumId w:val="23"/>
  </w:num>
  <w:num w:numId="34">
    <w:abstractNumId w:val="39"/>
  </w:num>
  <w:num w:numId="35">
    <w:abstractNumId w:val="22"/>
  </w:num>
  <w:num w:numId="36">
    <w:abstractNumId w:val="32"/>
  </w:num>
  <w:num w:numId="37">
    <w:abstractNumId w:val="35"/>
  </w:num>
  <w:num w:numId="3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3E"/>
    <w:rsid w:val="000027B6"/>
    <w:rsid w:val="00005FBE"/>
    <w:rsid w:val="00006BE0"/>
    <w:rsid w:val="00007C5E"/>
    <w:rsid w:val="0001078D"/>
    <w:rsid w:val="00025AD4"/>
    <w:rsid w:val="000272D5"/>
    <w:rsid w:val="000404EB"/>
    <w:rsid w:val="00044D4F"/>
    <w:rsid w:val="00044E58"/>
    <w:rsid w:val="000529C7"/>
    <w:rsid w:val="00062131"/>
    <w:rsid w:val="00070FFA"/>
    <w:rsid w:val="00071DE0"/>
    <w:rsid w:val="00074C73"/>
    <w:rsid w:val="00085BE7"/>
    <w:rsid w:val="00095C82"/>
    <w:rsid w:val="000B5EEB"/>
    <w:rsid w:val="000D08BE"/>
    <w:rsid w:val="000D252A"/>
    <w:rsid w:val="000D2BEB"/>
    <w:rsid w:val="000D7FE3"/>
    <w:rsid w:val="000F12B9"/>
    <w:rsid w:val="000F4B45"/>
    <w:rsid w:val="0010365D"/>
    <w:rsid w:val="00114E78"/>
    <w:rsid w:val="00117CFD"/>
    <w:rsid w:val="00123B32"/>
    <w:rsid w:val="001338B1"/>
    <w:rsid w:val="00157BFC"/>
    <w:rsid w:val="00165F49"/>
    <w:rsid w:val="001765A2"/>
    <w:rsid w:val="0017776E"/>
    <w:rsid w:val="001868FB"/>
    <w:rsid w:val="00192EE7"/>
    <w:rsid w:val="001A0E04"/>
    <w:rsid w:val="001A27B3"/>
    <w:rsid w:val="001A3074"/>
    <w:rsid w:val="001A507F"/>
    <w:rsid w:val="001A6D92"/>
    <w:rsid w:val="001A6F3E"/>
    <w:rsid w:val="001B474A"/>
    <w:rsid w:val="001C558C"/>
    <w:rsid w:val="001D5EA3"/>
    <w:rsid w:val="001E5C54"/>
    <w:rsid w:val="001F07EE"/>
    <w:rsid w:val="001F3FAB"/>
    <w:rsid w:val="001F4193"/>
    <w:rsid w:val="001F4443"/>
    <w:rsid w:val="001F4D27"/>
    <w:rsid w:val="00204026"/>
    <w:rsid w:val="002116FF"/>
    <w:rsid w:val="00215398"/>
    <w:rsid w:val="00216714"/>
    <w:rsid w:val="002336D7"/>
    <w:rsid w:val="00242056"/>
    <w:rsid w:val="0024578B"/>
    <w:rsid w:val="002461DD"/>
    <w:rsid w:val="00253D40"/>
    <w:rsid w:val="00270B2E"/>
    <w:rsid w:val="00275ED0"/>
    <w:rsid w:val="00283F76"/>
    <w:rsid w:val="00286AED"/>
    <w:rsid w:val="0029309E"/>
    <w:rsid w:val="00296CB3"/>
    <w:rsid w:val="00297BA4"/>
    <w:rsid w:val="002A3E98"/>
    <w:rsid w:val="002A50EA"/>
    <w:rsid w:val="002A5634"/>
    <w:rsid w:val="002B257C"/>
    <w:rsid w:val="002B4E65"/>
    <w:rsid w:val="002B56CE"/>
    <w:rsid w:val="002B672C"/>
    <w:rsid w:val="002C1570"/>
    <w:rsid w:val="002C2166"/>
    <w:rsid w:val="002C6181"/>
    <w:rsid w:val="002D381D"/>
    <w:rsid w:val="002E4E9D"/>
    <w:rsid w:val="002E780F"/>
    <w:rsid w:val="002F4346"/>
    <w:rsid w:val="002F693A"/>
    <w:rsid w:val="00300B7D"/>
    <w:rsid w:val="003028C1"/>
    <w:rsid w:val="003045D8"/>
    <w:rsid w:val="00307464"/>
    <w:rsid w:val="003158EE"/>
    <w:rsid w:val="0032351A"/>
    <w:rsid w:val="00323B2B"/>
    <w:rsid w:val="00324A58"/>
    <w:rsid w:val="0032536F"/>
    <w:rsid w:val="00333E0E"/>
    <w:rsid w:val="00345F0A"/>
    <w:rsid w:val="003512A5"/>
    <w:rsid w:val="003512F9"/>
    <w:rsid w:val="00363EAC"/>
    <w:rsid w:val="00376E8D"/>
    <w:rsid w:val="00381431"/>
    <w:rsid w:val="00385720"/>
    <w:rsid w:val="00391294"/>
    <w:rsid w:val="00397AF3"/>
    <w:rsid w:val="003A03EA"/>
    <w:rsid w:val="003B6A52"/>
    <w:rsid w:val="003C496D"/>
    <w:rsid w:val="003C5F19"/>
    <w:rsid w:val="003C6098"/>
    <w:rsid w:val="003C71D7"/>
    <w:rsid w:val="003D195B"/>
    <w:rsid w:val="003D2583"/>
    <w:rsid w:val="003E1572"/>
    <w:rsid w:val="003E2692"/>
    <w:rsid w:val="003E7E63"/>
    <w:rsid w:val="003F3846"/>
    <w:rsid w:val="00400F61"/>
    <w:rsid w:val="00407DB3"/>
    <w:rsid w:val="00422D29"/>
    <w:rsid w:val="0043351A"/>
    <w:rsid w:val="00446808"/>
    <w:rsid w:val="004514FC"/>
    <w:rsid w:val="00462A25"/>
    <w:rsid w:val="00463615"/>
    <w:rsid w:val="00463C24"/>
    <w:rsid w:val="00466C31"/>
    <w:rsid w:val="00470A71"/>
    <w:rsid w:val="004758B6"/>
    <w:rsid w:val="00487A33"/>
    <w:rsid w:val="00490EB5"/>
    <w:rsid w:val="004920C7"/>
    <w:rsid w:val="00494F12"/>
    <w:rsid w:val="004A74E9"/>
    <w:rsid w:val="004B2E4B"/>
    <w:rsid w:val="004C4E46"/>
    <w:rsid w:val="004D21F2"/>
    <w:rsid w:val="004E53E7"/>
    <w:rsid w:val="004F20F2"/>
    <w:rsid w:val="004F3AB2"/>
    <w:rsid w:val="004F4A65"/>
    <w:rsid w:val="004F60D6"/>
    <w:rsid w:val="00501FC4"/>
    <w:rsid w:val="0052226B"/>
    <w:rsid w:val="00523E20"/>
    <w:rsid w:val="00525285"/>
    <w:rsid w:val="00530DCF"/>
    <w:rsid w:val="005355C3"/>
    <w:rsid w:val="0055123F"/>
    <w:rsid w:val="00557F9C"/>
    <w:rsid w:val="0056150D"/>
    <w:rsid w:val="005632C9"/>
    <w:rsid w:val="005661E3"/>
    <w:rsid w:val="00567AEA"/>
    <w:rsid w:val="00571B06"/>
    <w:rsid w:val="00571E20"/>
    <w:rsid w:val="00574EC6"/>
    <w:rsid w:val="005838BA"/>
    <w:rsid w:val="005863EF"/>
    <w:rsid w:val="005868E3"/>
    <w:rsid w:val="00591608"/>
    <w:rsid w:val="00591A84"/>
    <w:rsid w:val="005A6163"/>
    <w:rsid w:val="005B05AD"/>
    <w:rsid w:val="005C2C69"/>
    <w:rsid w:val="005E148C"/>
    <w:rsid w:val="005F1CA0"/>
    <w:rsid w:val="005F25B9"/>
    <w:rsid w:val="005F634D"/>
    <w:rsid w:val="006067C0"/>
    <w:rsid w:val="00607F6F"/>
    <w:rsid w:val="00611F84"/>
    <w:rsid w:val="006223B0"/>
    <w:rsid w:val="00627C5C"/>
    <w:rsid w:val="006316A2"/>
    <w:rsid w:val="00641761"/>
    <w:rsid w:val="0064176A"/>
    <w:rsid w:val="00643850"/>
    <w:rsid w:val="00651D9B"/>
    <w:rsid w:val="00656F3F"/>
    <w:rsid w:val="00660178"/>
    <w:rsid w:val="00662340"/>
    <w:rsid w:val="0067325C"/>
    <w:rsid w:val="006754DE"/>
    <w:rsid w:val="006826E5"/>
    <w:rsid w:val="006930A1"/>
    <w:rsid w:val="00693DDE"/>
    <w:rsid w:val="006952F1"/>
    <w:rsid w:val="00695CE0"/>
    <w:rsid w:val="006A2057"/>
    <w:rsid w:val="006A514B"/>
    <w:rsid w:val="006A71EA"/>
    <w:rsid w:val="006B004E"/>
    <w:rsid w:val="006B0BF4"/>
    <w:rsid w:val="006B671F"/>
    <w:rsid w:val="006B798C"/>
    <w:rsid w:val="006C0F3D"/>
    <w:rsid w:val="006C5092"/>
    <w:rsid w:val="006C69AE"/>
    <w:rsid w:val="006C7256"/>
    <w:rsid w:val="006D073F"/>
    <w:rsid w:val="006D7C7D"/>
    <w:rsid w:val="006E016D"/>
    <w:rsid w:val="006E043C"/>
    <w:rsid w:val="006F1F1E"/>
    <w:rsid w:val="006F295F"/>
    <w:rsid w:val="007018FA"/>
    <w:rsid w:val="00703776"/>
    <w:rsid w:val="00712742"/>
    <w:rsid w:val="0071298A"/>
    <w:rsid w:val="00716AF3"/>
    <w:rsid w:val="00716ECF"/>
    <w:rsid w:val="007226A6"/>
    <w:rsid w:val="00722D80"/>
    <w:rsid w:val="007241E9"/>
    <w:rsid w:val="00725F9F"/>
    <w:rsid w:val="007267FD"/>
    <w:rsid w:val="007619D7"/>
    <w:rsid w:val="00762543"/>
    <w:rsid w:val="00767B10"/>
    <w:rsid w:val="007703E7"/>
    <w:rsid w:val="00773844"/>
    <w:rsid w:val="00774CAA"/>
    <w:rsid w:val="00780381"/>
    <w:rsid w:val="007866F5"/>
    <w:rsid w:val="00786A67"/>
    <w:rsid w:val="00797F67"/>
    <w:rsid w:val="007A06F3"/>
    <w:rsid w:val="007A231F"/>
    <w:rsid w:val="007A2FBF"/>
    <w:rsid w:val="007A3262"/>
    <w:rsid w:val="007A4D31"/>
    <w:rsid w:val="007B23D8"/>
    <w:rsid w:val="007B76A5"/>
    <w:rsid w:val="007C0443"/>
    <w:rsid w:val="007C2A10"/>
    <w:rsid w:val="007C2D42"/>
    <w:rsid w:val="007D035A"/>
    <w:rsid w:val="007D2516"/>
    <w:rsid w:val="007D3CAE"/>
    <w:rsid w:val="007E1B04"/>
    <w:rsid w:val="007E1F4E"/>
    <w:rsid w:val="007F2178"/>
    <w:rsid w:val="00800D94"/>
    <w:rsid w:val="008060E7"/>
    <w:rsid w:val="0081218C"/>
    <w:rsid w:val="008122F9"/>
    <w:rsid w:val="008151BA"/>
    <w:rsid w:val="00833632"/>
    <w:rsid w:val="00833EFB"/>
    <w:rsid w:val="00844DCD"/>
    <w:rsid w:val="00853AD9"/>
    <w:rsid w:val="00854566"/>
    <w:rsid w:val="00857311"/>
    <w:rsid w:val="00857B3E"/>
    <w:rsid w:val="00872AAF"/>
    <w:rsid w:val="00872BB2"/>
    <w:rsid w:val="008742BF"/>
    <w:rsid w:val="00884E7D"/>
    <w:rsid w:val="008858EE"/>
    <w:rsid w:val="00887BBC"/>
    <w:rsid w:val="00890BA4"/>
    <w:rsid w:val="00890D84"/>
    <w:rsid w:val="008970E9"/>
    <w:rsid w:val="008A059A"/>
    <w:rsid w:val="008B2DAB"/>
    <w:rsid w:val="008B3478"/>
    <w:rsid w:val="008B42E7"/>
    <w:rsid w:val="008C40AB"/>
    <w:rsid w:val="008C7254"/>
    <w:rsid w:val="008C77E9"/>
    <w:rsid w:val="008D01E4"/>
    <w:rsid w:val="008D0AEC"/>
    <w:rsid w:val="008D241D"/>
    <w:rsid w:val="008E45B9"/>
    <w:rsid w:val="008E5C60"/>
    <w:rsid w:val="008F25BA"/>
    <w:rsid w:val="008F3911"/>
    <w:rsid w:val="00902BA7"/>
    <w:rsid w:val="00907A4C"/>
    <w:rsid w:val="00910CE1"/>
    <w:rsid w:val="009134D7"/>
    <w:rsid w:val="00924999"/>
    <w:rsid w:val="00931C50"/>
    <w:rsid w:val="00933386"/>
    <w:rsid w:val="00934651"/>
    <w:rsid w:val="0093717E"/>
    <w:rsid w:val="0094180D"/>
    <w:rsid w:val="009445B2"/>
    <w:rsid w:val="009465ED"/>
    <w:rsid w:val="00952318"/>
    <w:rsid w:val="0095370E"/>
    <w:rsid w:val="00953A03"/>
    <w:rsid w:val="00953F7E"/>
    <w:rsid w:val="009652F4"/>
    <w:rsid w:val="00975CBC"/>
    <w:rsid w:val="0098065F"/>
    <w:rsid w:val="009878E2"/>
    <w:rsid w:val="00992D78"/>
    <w:rsid w:val="00994F5E"/>
    <w:rsid w:val="009A08E8"/>
    <w:rsid w:val="009A5762"/>
    <w:rsid w:val="009B35E1"/>
    <w:rsid w:val="009B4128"/>
    <w:rsid w:val="009C1501"/>
    <w:rsid w:val="009C41ED"/>
    <w:rsid w:val="009C7259"/>
    <w:rsid w:val="009D3D13"/>
    <w:rsid w:val="00A13092"/>
    <w:rsid w:val="00A132AD"/>
    <w:rsid w:val="00A152B7"/>
    <w:rsid w:val="00A209AF"/>
    <w:rsid w:val="00A218A5"/>
    <w:rsid w:val="00A23878"/>
    <w:rsid w:val="00A26D04"/>
    <w:rsid w:val="00A30930"/>
    <w:rsid w:val="00A30EAA"/>
    <w:rsid w:val="00A31808"/>
    <w:rsid w:val="00A42F76"/>
    <w:rsid w:val="00A46309"/>
    <w:rsid w:val="00A56C09"/>
    <w:rsid w:val="00A61215"/>
    <w:rsid w:val="00A62ADB"/>
    <w:rsid w:val="00A643C2"/>
    <w:rsid w:val="00A64DE8"/>
    <w:rsid w:val="00A65018"/>
    <w:rsid w:val="00A7383D"/>
    <w:rsid w:val="00A75D95"/>
    <w:rsid w:val="00A7661E"/>
    <w:rsid w:val="00AA6956"/>
    <w:rsid w:val="00AB451A"/>
    <w:rsid w:val="00AB57BE"/>
    <w:rsid w:val="00AC1F9F"/>
    <w:rsid w:val="00AC3AFC"/>
    <w:rsid w:val="00AC54EA"/>
    <w:rsid w:val="00AD21E3"/>
    <w:rsid w:val="00AE0456"/>
    <w:rsid w:val="00AE2E38"/>
    <w:rsid w:val="00AE4770"/>
    <w:rsid w:val="00AE5CD9"/>
    <w:rsid w:val="00AF0C3C"/>
    <w:rsid w:val="00AF3ED3"/>
    <w:rsid w:val="00AF401B"/>
    <w:rsid w:val="00AF4113"/>
    <w:rsid w:val="00AF6839"/>
    <w:rsid w:val="00B002CF"/>
    <w:rsid w:val="00B051AD"/>
    <w:rsid w:val="00B14A6D"/>
    <w:rsid w:val="00B24C94"/>
    <w:rsid w:val="00B402BA"/>
    <w:rsid w:val="00B411D1"/>
    <w:rsid w:val="00B42222"/>
    <w:rsid w:val="00B5064C"/>
    <w:rsid w:val="00B628D3"/>
    <w:rsid w:val="00B63D06"/>
    <w:rsid w:val="00B80001"/>
    <w:rsid w:val="00B83022"/>
    <w:rsid w:val="00B873F3"/>
    <w:rsid w:val="00B879A0"/>
    <w:rsid w:val="00B90A6B"/>
    <w:rsid w:val="00B92E76"/>
    <w:rsid w:val="00BA294D"/>
    <w:rsid w:val="00BA7748"/>
    <w:rsid w:val="00BB1542"/>
    <w:rsid w:val="00BB3CDD"/>
    <w:rsid w:val="00BB696B"/>
    <w:rsid w:val="00BB6FEE"/>
    <w:rsid w:val="00BB74EF"/>
    <w:rsid w:val="00BC3595"/>
    <w:rsid w:val="00BC6E98"/>
    <w:rsid w:val="00BD038B"/>
    <w:rsid w:val="00BD36DF"/>
    <w:rsid w:val="00BE2E79"/>
    <w:rsid w:val="00BF0073"/>
    <w:rsid w:val="00BF696A"/>
    <w:rsid w:val="00C01E00"/>
    <w:rsid w:val="00C045AF"/>
    <w:rsid w:val="00C067D2"/>
    <w:rsid w:val="00C15163"/>
    <w:rsid w:val="00C32E5A"/>
    <w:rsid w:val="00C35FE6"/>
    <w:rsid w:val="00C57985"/>
    <w:rsid w:val="00C65FE2"/>
    <w:rsid w:val="00C66D21"/>
    <w:rsid w:val="00C84063"/>
    <w:rsid w:val="00C863D7"/>
    <w:rsid w:val="00C9171D"/>
    <w:rsid w:val="00C91F8C"/>
    <w:rsid w:val="00C96AE7"/>
    <w:rsid w:val="00CA01C1"/>
    <w:rsid w:val="00CA5D9A"/>
    <w:rsid w:val="00CB4226"/>
    <w:rsid w:val="00CC16C3"/>
    <w:rsid w:val="00CC6FF4"/>
    <w:rsid w:val="00CD1A03"/>
    <w:rsid w:val="00CF061F"/>
    <w:rsid w:val="00CF227B"/>
    <w:rsid w:val="00D03119"/>
    <w:rsid w:val="00D03440"/>
    <w:rsid w:val="00D060D1"/>
    <w:rsid w:val="00D13568"/>
    <w:rsid w:val="00D15D4A"/>
    <w:rsid w:val="00D2314F"/>
    <w:rsid w:val="00D24664"/>
    <w:rsid w:val="00D25A8E"/>
    <w:rsid w:val="00D3785C"/>
    <w:rsid w:val="00D37B9A"/>
    <w:rsid w:val="00D4321E"/>
    <w:rsid w:val="00D51A5C"/>
    <w:rsid w:val="00D56E2F"/>
    <w:rsid w:val="00D578CD"/>
    <w:rsid w:val="00D57966"/>
    <w:rsid w:val="00D67C81"/>
    <w:rsid w:val="00D80FD1"/>
    <w:rsid w:val="00D83167"/>
    <w:rsid w:val="00D906C7"/>
    <w:rsid w:val="00D9332F"/>
    <w:rsid w:val="00DA33A7"/>
    <w:rsid w:val="00DA4A58"/>
    <w:rsid w:val="00DA7EFB"/>
    <w:rsid w:val="00DB7230"/>
    <w:rsid w:val="00DC585E"/>
    <w:rsid w:val="00DD1AB1"/>
    <w:rsid w:val="00DD3892"/>
    <w:rsid w:val="00DD583E"/>
    <w:rsid w:val="00DE0ACE"/>
    <w:rsid w:val="00DE1541"/>
    <w:rsid w:val="00DE2D9D"/>
    <w:rsid w:val="00DF48D0"/>
    <w:rsid w:val="00DF49E2"/>
    <w:rsid w:val="00E05D2B"/>
    <w:rsid w:val="00E05EDA"/>
    <w:rsid w:val="00E06CB4"/>
    <w:rsid w:val="00E12C14"/>
    <w:rsid w:val="00E336D8"/>
    <w:rsid w:val="00E4474F"/>
    <w:rsid w:val="00E44DBF"/>
    <w:rsid w:val="00E57E12"/>
    <w:rsid w:val="00E72BC1"/>
    <w:rsid w:val="00E747D7"/>
    <w:rsid w:val="00E75A92"/>
    <w:rsid w:val="00E76C51"/>
    <w:rsid w:val="00E80C92"/>
    <w:rsid w:val="00E83007"/>
    <w:rsid w:val="00E85621"/>
    <w:rsid w:val="00E85EF1"/>
    <w:rsid w:val="00E93BB6"/>
    <w:rsid w:val="00E97FF2"/>
    <w:rsid w:val="00EA32B1"/>
    <w:rsid w:val="00EA4F99"/>
    <w:rsid w:val="00EB025F"/>
    <w:rsid w:val="00EB1E92"/>
    <w:rsid w:val="00EB7AA6"/>
    <w:rsid w:val="00EC1727"/>
    <w:rsid w:val="00EC1E08"/>
    <w:rsid w:val="00EC28EB"/>
    <w:rsid w:val="00EC7D6C"/>
    <w:rsid w:val="00ED1DE9"/>
    <w:rsid w:val="00ED49AC"/>
    <w:rsid w:val="00EE2A7B"/>
    <w:rsid w:val="00EE49EE"/>
    <w:rsid w:val="00EE5655"/>
    <w:rsid w:val="00EF37AC"/>
    <w:rsid w:val="00EF3F3D"/>
    <w:rsid w:val="00EF411D"/>
    <w:rsid w:val="00EF54D2"/>
    <w:rsid w:val="00F01311"/>
    <w:rsid w:val="00F07154"/>
    <w:rsid w:val="00F11B7A"/>
    <w:rsid w:val="00F22F99"/>
    <w:rsid w:val="00F230EA"/>
    <w:rsid w:val="00F234E9"/>
    <w:rsid w:val="00F26321"/>
    <w:rsid w:val="00F43D88"/>
    <w:rsid w:val="00F67D49"/>
    <w:rsid w:val="00F81BB5"/>
    <w:rsid w:val="00F823E0"/>
    <w:rsid w:val="00F83D0E"/>
    <w:rsid w:val="00F93F8C"/>
    <w:rsid w:val="00FA0D3C"/>
    <w:rsid w:val="00FA3A45"/>
    <w:rsid w:val="00FA42A7"/>
    <w:rsid w:val="00FB077C"/>
    <w:rsid w:val="00FB1D95"/>
    <w:rsid w:val="00FB30FF"/>
    <w:rsid w:val="00FC01C5"/>
    <w:rsid w:val="00FD051A"/>
    <w:rsid w:val="00FD1108"/>
    <w:rsid w:val="00FD2CA0"/>
    <w:rsid w:val="00FD35E6"/>
    <w:rsid w:val="00FE0C09"/>
    <w:rsid w:val="00FE5B0C"/>
    <w:rsid w:val="00FE7AFE"/>
    <w:rsid w:val="00FF2E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0BE778"/>
  <w15:chartTrackingRefBased/>
  <w15:docId w15:val="{3F4BDEBE-1D1E-464E-8B1F-2D02753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176A"/>
    <w:pPr>
      <w:suppressAutoHyphens/>
    </w:pPr>
    <w:rPr>
      <w:sz w:val="24"/>
      <w:szCs w:val="24"/>
      <w:lang w:eastAsia="ar-SA"/>
    </w:rPr>
  </w:style>
  <w:style w:type="paragraph" w:styleId="Titolo1">
    <w:name w:val="heading 1"/>
    <w:basedOn w:val="Normale"/>
    <w:next w:val="Normale"/>
    <w:link w:val="Titolo1Carattere"/>
    <w:rsid w:val="008B42E7"/>
    <w:pPr>
      <w:keepNext/>
      <w:keepLines/>
      <w:suppressAutoHyphens w:val="0"/>
      <w:spacing w:before="240" w:line="259" w:lineRule="auto"/>
      <w:outlineLvl w:val="0"/>
    </w:pPr>
    <w:rPr>
      <w:rFonts w:ascii="Calibri" w:eastAsia="Calibri" w:hAnsi="Calibri" w:cs="Calibri"/>
      <w:color w:val="2F5496"/>
      <w:sz w:val="32"/>
      <w:szCs w:val="32"/>
      <w:lang w:eastAsia="it-IT"/>
    </w:rPr>
  </w:style>
  <w:style w:type="paragraph" w:styleId="Titolo5">
    <w:name w:val="heading 5"/>
    <w:basedOn w:val="Normale"/>
    <w:next w:val="Normale"/>
    <w:link w:val="Titolo5Carattere"/>
    <w:semiHidden/>
    <w:unhideWhenUsed/>
    <w:qFormat/>
    <w:rsid w:val="007E1B0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paragraph" w:customStyle="1" w:styleId="Intestazione1">
    <w:name w:val="Intestazione1"/>
    <w:basedOn w:val="Normale"/>
    <w:next w:val="Corpodeltesto"/>
    <w:pPr>
      <w:keepNext/>
      <w:spacing w:before="240" w:after="120"/>
    </w:pPr>
    <w:rPr>
      <w:rFonts w:ascii="Arial" w:eastAsia="Arial Unicode MS"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deltesto"/>
  </w:style>
  <w:style w:type="paragraph" w:styleId="NormaleWeb">
    <w:name w:val="Normal (Web)"/>
    <w:basedOn w:val="Normale"/>
    <w:pPr>
      <w:spacing w:before="280" w:after="119"/>
    </w:pPr>
  </w:style>
  <w:style w:type="paragraph" w:customStyle="1" w:styleId="Corpodeltesto31">
    <w:name w:val="Corpo del testo 31"/>
    <w:basedOn w:val="Normale"/>
    <w:rsid w:val="00833632"/>
    <w:pPr>
      <w:autoSpaceDE w:val="0"/>
      <w:jc w:val="both"/>
    </w:pPr>
    <w:rPr>
      <w:rFonts w:ascii="Verdana" w:hAnsi="Verdana" w:cs="Verdana"/>
      <w:color w:val="000000"/>
      <w:sz w:val="20"/>
      <w:szCs w:val="20"/>
    </w:rPr>
  </w:style>
  <w:style w:type="paragraph" w:customStyle="1" w:styleId="Corpodeltesto21">
    <w:name w:val="Corpo del testo 21"/>
    <w:basedOn w:val="Normale"/>
    <w:rsid w:val="0032536F"/>
    <w:pPr>
      <w:spacing w:after="120" w:line="480" w:lineRule="auto"/>
    </w:pPr>
  </w:style>
  <w:style w:type="character" w:styleId="Collegamentoipertestuale">
    <w:name w:val="Hyperlink"/>
    <w:uiPriority w:val="99"/>
    <w:rsid w:val="0032536F"/>
    <w:rPr>
      <w:color w:val="0000FF"/>
      <w:u w:val="single"/>
    </w:rPr>
  </w:style>
  <w:style w:type="paragraph" w:customStyle="1" w:styleId="BodyText21">
    <w:name w:val="Body Text 21"/>
    <w:basedOn w:val="Normale"/>
    <w:rsid w:val="0032536F"/>
    <w:pPr>
      <w:suppressAutoHyphens w:val="0"/>
      <w:autoSpaceDE w:val="0"/>
      <w:autoSpaceDN w:val="0"/>
      <w:jc w:val="both"/>
    </w:pPr>
    <w:rPr>
      <w:rFonts w:ascii="Arial" w:hAnsi="Arial"/>
      <w:sz w:val="20"/>
      <w:szCs w:val="20"/>
      <w:lang w:eastAsia="it-IT"/>
    </w:rPr>
  </w:style>
  <w:style w:type="paragraph" w:styleId="Testonormale">
    <w:name w:val="Plain Text"/>
    <w:basedOn w:val="Normale"/>
    <w:link w:val="TestonormaleCarattere"/>
    <w:rsid w:val="003158EE"/>
    <w:pPr>
      <w:suppressAutoHyphens w:val="0"/>
    </w:pPr>
    <w:rPr>
      <w:rFonts w:ascii="Courier New" w:hAnsi="Courier New"/>
      <w:szCs w:val="20"/>
      <w:lang w:val="x-none" w:eastAsia="x-none"/>
    </w:rPr>
  </w:style>
  <w:style w:type="character" w:customStyle="1" w:styleId="TestonormaleCarattere">
    <w:name w:val="Testo normale Carattere"/>
    <w:link w:val="Testonormale"/>
    <w:rsid w:val="003158EE"/>
    <w:rPr>
      <w:rFonts w:ascii="Courier New" w:hAnsi="Courier New" w:cs="Courier New"/>
      <w:sz w:val="24"/>
    </w:rPr>
  </w:style>
  <w:style w:type="paragraph" w:styleId="Corpodeltesto2">
    <w:name w:val="Body Text 2"/>
    <w:basedOn w:val="Normale"/>
    <w:link w:val="Corpodeltesto2Carattere"/>
    <w:uiPriority w:val="99"/>
    <w:rsid w:val="005F25B9"/>
    <w:pPr>
      <w:spacing w:after="120" w:line="480" w:lineRule="auto"/>
    </w:pPr>
  </w:style>
  <w:style w:type="character" w:customStyle="1" w:styleId="Corpodeltesto2Carattere">
    <w:name w:val="Corpo del testo 2 Carattere"/>
    <w:link w:val="Corpodeltesto2"/>
    <w:rsid w:val="005F25B9"/>
    <w:rPr>
      <w:sz w:val="24"/>
      <w:szCs w:val="24"/>
      <w:lang w:eastAsia="ar-SA"/>
    </w:rPr>
  </w:style>
  <w:style w:type="paragraph" w:styleId="Rientrocorpodeltesto">
    <w:name w:val="Body Text Indent"/>
    <w:basedOn w:val="Normale"/>
    <w:link w:val="RientrocorpodeltestoCarattere"/>
    <w:rsid w:val="005F25B9"/>
    <w:pPr>
      <w:spacing w:after="120"/>
      <w:ind w:left="283"/>
    </w:pPr>
  </w:style>
  <w:style w:type="character" w:customStyle="1" w:styleId="RientrocorpodeltestoCarattere">
    <w:name w:val="Rientro corpo del testo Carattere"/>
    <w:link w:val="Rientrocorpodeltesto"/>
    <w:rsid w:val="005F25B9"/>
    <w:rPr>
      <w:sz w:val="24"/>
      <w:szCs w:val="24"/>
      <w:lang w:eastAsia="ar-SA"/>
    </w:rPr>
  </w:style>
  <w:style w:type="paragraph" w:styleId="Corpodeltesto3">
    <w:name w:val="Body Text 3"/>
    <w:basedOn w:val="Normale"/>
    <w:link w:val="Corpodeltesto3Carattere"/>
    <w:rsid w:val="005F25B9"/>
    <w:pPr>
      <w:spacing w:after="120"/>
    </w:pPr>
    <w:rPr>
      <w:sz w:val="16"/>
      <w:szCs w:val="16"/>
    </w:rPr>
  </w:style>
  <w:style w:type="character" w:customStyle="1" w:styleId="Corpodeltesto3Carattere">
    <w:name w:val="Corpo del testo 3 Carattere"/>
    <w:link w:val="Corpodeltesto3"/>
    <w:rsid w:val="005F25B9"/>
    <w:rPr>
      <w:sz w:val="16"/>
      <w:szCs w:val="16"/>
      <w:lang w:eastAsia="ar-SA"/>
    </w:rPr>
  </w:style>
  <w:style w:type="paragraph" w:styleId="Indice2">
    <w:name w:val="index 2"/>
    <w:basedOn w:val="Normale"/>
    <w:next w:val="Normale"/>
    <w:rsid w:val="005F25B9"/>
    <w:pPr>
      <w:ind w:left="567"/>
      <w:jc w:val="both"/>
    </w:pPr>
    <w:rPr>
      <w:b/>
      <w:bCs/>
      <w:kern w:val="1"/>
      <w:szCs w:val="20"/>
      <w:lang w:eastAsia="zh-CN"/>
    </w:rPr>
  </w:style>
  <w:style w:type="paragraph" w:customStyle="1" w:styleId="Stile1">
    <w:name w:val="Stile1"/>
    <w:basedOn w:val="Normale"/>
    <w:uiPriority w:val="99"/>
    <w:rsid w:val="00CF061F"/>
    <w:pPr>
      <w:tabs>
        <w:tab w:val="left" w:leader="dot" w:pos="7938"/>
      </w:tabs>
      <w:suppressAutoHyphens w:val="0"/>
    </w:pPr>
    <w:rPr>
      <w:rFonts w:ascii="Arial" w:hAnsi="Arial" w:cs="Arial"/>
      <w:lang w:eastAsia="it-IT"/>
    </w:rPr>
  </w:style>
  <w:style w:type="character" w:customStyle="1" w:styleId="Corpodeltesto2Carattere2">
    <w:name w:val="Corpo del testo 2 Carattere2"/>
    <w:uiPriority w:val="99"/>
    <w:semiHidden/>
    <w:rsid w:val="00A61215"/>
    <w:rPr>
      <w:sz w:val="24"/>
      <w:szCs w:val="24"/>
      <w:lang w:val="en-US" w:eastAsia="ar-SA"/>
    </w:rPr>
  </w:style>
  <w:style w:type="character" w:customStyle="1" w:styleId="Titolo1Carattere">
    <w:name w:val="Titolo 1 Carattere"/>
    <w:basedOn w:val="Carpredefinitoparagrafo"/>
    <w:link w:val="Titolo1"/>
    <w:rsid w:val="008B42E7"/>
    <w:rPr>
      <w:rFonts w:ascii="Calibri" w:eastAsia="Calibri" w:hAnsi="Calibri" w:cs="Calibri"/>
      <w:color w:val="2F5496"/>
      <w:sz w:val="32"/>
      <w:szCs w:val="32"/>
    </w:rPr>
  </w:style>
  <w:style w:type="paragraph" w:styleId="Paragrafoelenco">
    <w:name w:val="List Paragraph"/>
    <w:basedOn w:val="Normale"/>
    <w:uiPriority w:val="34"/>
    <w:qFormat/>
    <w:rsid w:val="008B42E7"/>
    <w:pPr>
      <w:suppressAutoHyphens w:val="0"/>
      <w:spacing w:after="160" w:line="259" w:lineRule="auto"/>
      <w:ind w:left="720"/>
      <w:contextualSpacing/>
    </w:pPr>
    <w:rPr>
      <w:rFonts w:ascii="Calibri" w:eastAsia="Calibri" w:hAnsi="Calibri" w:cs="Calibri"/>
      <w:sz w:val="22"/>
      <w:szCs w:val="22"/>
      <w:lang w:eastAsia="it-IT"/>
    </w:rPr>
  </w:style>
  <w:style w:type="character" w:customStyle="1" w:styleId="Titolo5Carattere">
    <w:name w:val="Titolo 5 Carattere"/>
    <w:basedOn w:val="Carpredefinitoparagrafo"/>
    <w:link w:val="Titolo5"/>
    <w:semiHidden/>
    <w:rsid w:val="007E1B04"/>
    <w:rPr>
      <w:rFonts w:asciiTheme="majorHAnsi" w:eastAsiaTheme="majorEastAsia" w:hAnsiTheme="majorHAnsi" w:cstheme="majorBidi"/>
      <w:color w:val="2E74B5" w:themeColor="accent1" w:themeShade="BF"/>
      <w:sz w:val="24"/>
      <w:szCs w:val="24"/>
      <w:lang w:eastAsia="ar-SA"/>
    </w:rPr>
  </w:style>
  <w:style w:type="paragraph" w:styleId="Corpotesto">
    <w:name w:val="Body Text"/>
    <w:basedOn w:val="Normale"/>
    <w:link w:val="CorpotestoCarattere"/>
    <w:rsid w:val="002A5634"/>
    <w:pPr>
      <w:spacing w:after="120"/>
    </w:pPr>
  </w:style>
  <w:style w:type="character" w:customStyle="1" w:styleId="CorpotestoCarattere">
    <w:name w:val="Corpo testo Carattere"/>
    <w:basedOn w:val="Carpredefinitoparagrafo"/>
    <w:link w:val="Corpotesto"/>
    <w:rsid w:val="002A5634"/>
    <w:rPr>
      <w:sz w:val="24"/>
      <w:szCs w:val="24"/>
      <w:lang w:eastAsia="ar-SA"/>
    </w:rPr>
  </w:style>
  <w:style w:type="table" w:styleId="Grigliatabella">
    <w:name w:val="Table Grid"/>
    <w:basedOn w:val="Tabellanormale"/>
    <w:rsid w:val="00CA0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rsid w:val="005863EF"/>
    <w:rPr>
      <w:color w:val="954F72" w:themeColor="followedHyperlink"/>
      <w:u w:val="single"/>
    </w:rPr>
  </w:style>
  <w:style w:type="paragraph" w:customStyle="1" w:styleId="TableParagraph">
    <w:name w:val="Table Paragraph"/>
    <w:basedOn w:val="Normale"/>
    <w:uiPriority w:val="1"/>
    <w:qFormat/>
    <w:rsid w:val="00324A58"/>
    <w:pPr>
      <w:widowControl w:val="0"/>
      <w:suppressAutoHyphens w:val="0"/>
      <w:autoSpaceDE w:val="0"/>
      <w:autoSpaceDN w:val="0"/>
    </w:pPr>
    <w:rPr>
      <w:rFonts w:ascii="Calibri" w:eastAsia="Calibri" w:hAnsi="Calibri" w:cs="Calibri"/>
      <w:sz w:val="22"/>
      <w:szCs w:val="22"/>
      <w:lang w:eastAsia="en-US"/>
    </w:rPr>
  </w:style>
  <w:style w:type="paragraph" w:customStyle="1" w:styleId="Default">
    <w:name w:val="Default"/>
    <w:rsid w:val="00924999"/>
    <w:pPr>
      <w:autoSpaceDE w:val="0"/>
      <w:autoSpaceDN w:val="0"/>
      <w:adjustRightInd w:val="0"/>
    </w:pPr>
    <w:rPr>
      <w:rFonts w:ascii="Calibri" w:eastAsia="Calibri" w:hAnsi="Calibri" w:cs="Calibri"/>
      <w:color w:val="000000"/>
      <w:sz w:val="24"/>
      <w:szCs w:val="24"/>
    </w:rPr>
  </w:style>
  <w:style w:type="paragraph" w:styleId="Intestazione">
    <w:name w:val="header"/>
    <w:basedOn w:val="Normale"/>
    <w:link w:val="IntestazioneCarattere"/>
    <w:rsid w:val="00C91F8C"/>
    <w:pPr>
      <w:tabs>
        <w:tab w:val="center" w:pos="4819"/>
        <w:tab w:val="right" w:pos="9638"/>
      </w:tabs>
    </w:pPr>
  </w:style>
  <w:style w:type="character" w:customStyle="1" w:styleId="IntestazioneCarattere">
    <w:name w:val="Intestazione Carattere"/>
    <w:basedOn w:val="Carpredefinitoparagrafo"/>
    <w:link w:val="Intestazione"/>
    <w:rsid w:val="00C91F8C"/>
    <w:rPr>
      <w:sz w:val="24"/>
      <w:szCs w:val="24"/>
      <w:lang w:eastAsia="ar-SA"/>
    </w:rPr>
  </w:style>
  <w:style w:type="paragraph" w:styleId="Pidipagina">
    <w:name w:val="footer"/>
    <w:basedOn w:val="Normale"/>
    <w:link w:val="PidipaginaCarattere"/>
    <w:uiPriority w:val="99"/>
    <w:rsid w:val="00C91F8C"/>
    <w:pPr>
      <w:tabs>
        <w:tab w:val="center" w:pos="4819"/>
        <w:tab w:val="right" w:pos="9638"/>
      </w:tabs>
    </w:pPr>
  </w:style>
  <w:style w:type="character" w:customStyle="1" w:styleId="PidipaginaCarattere">
    <w:name w:val="Piè di pagina Carattere"/>
    <w:basedOn w:val="Carpredefinitoparagrafo"/>
    <w:link w:val="Pidipagina"/>
    <w:uiPriority w:val="99"/>
    <w:rsid w:val="00C91F8C"/>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0657">
      <w:bodyDiv w:val="1"/>
      <w:marLeft w:val="0"/>
      <w:marRight w:val="0"/>
      <w:marTop w:val="0"/>
      <w:marBottom w:val="0"/>
      <w:divBdr>
        <w:top w:val="none" w:sz="0" w:space="0" w:color="auto"/>
        <w:left w:val="none" w:sz="0" w:space="0" w:color="auto"/>
        <w:bottom w:val="none" w:sz="0" w:space="0" w:color="auto"/>
        <w:right w:val="none" w:sz="0" w:space="0" w:color="auto"/>
      </w:divBdr>
    </w:div>
    <w:div w:id="314065114">
      <w:bodyDiv w:val="1"/>
      <w:marLeft w:val="0"/>
      <w:marRight w:val="0"/>
      <w:marTop w:val="0"/>
      <w:marBottom w:val="0"/>
      <w:divBdr>
        <w:top w:val="none" w:sz="0" w:space="0" w:color="auto"/>
        <w:left w:val="none" w:sz="0" w:space="0" w:color="auto"/>
        <w:bottom w:val="none" w:sz="0" w:space="0" w:color="auto"/>
        <w:right w:val="none" w:sz="0" w:space="0" w:color="auto"/>
      </w:divBdr>
      <w:divsChild>
        <w:div w:id="335694765">
          <w:marLeft w:val="0"/>
          <w:marRight w:val="0"/>
          <w:marTop w:val="0"/>
          <w:marBottom w:val="0"/>
          <w:divBdr>
            <w:top w:val="none" w:sz="0" w:space="0" w:color="auto"/>
            <w:left w:val="none" w:sz="0" w:space="0" w:color="auto"/>
            <w:bottom w:val="none" w:sz="0" w:space="0" w:color="auto"/>
            <w:right w:val="none" w:sz="0" w:space="0" w:color="auto"/>
          </w:divBdr>
        </w:div>
        <w:div w:id="1257253885">
          <w:marLeft w:val="0"/>
          <w:marRight w:val="0"/>
          <w:marTop w:val="0"/>
          <w:marBottom w:val="0"/>
          <w:divBdr>
            <w:top w:val="none" w:sz="0" w:space="0" w:color="auto"/>
            <w:left w:val="none" w:sz="0" w:space="0" w:color="auto"/>
            <w:bottom w:val="none" w:sz="0" w:space="0" w:color="auto"/>
            <w:right w:val="none" w:sz="0" w:space="0" w:color="auto"/>
          </w:divBdr>
        </w:div>
      </w:divsChild>
    </w:div>
    <w:div w:id="898858360">
      <w:bodyDiv w:val="1"/>
      <w:marLeft w:val="0"/>
      <w:marRight w:val="0"/>
      <w:marTop w:val="0"/>
      <w:marBottom w:val="0"/>
      <w:divBdr>
        <w:top w:val="none" w:sz="0" w:space="0" w:color="auto"/>
        <w:left w:val="none" w:sz="0" w:space="0" w:color="auto"/>
        <w:bottom w:val="none" w:sz="0" w:space="0" w:color="auto"/>
        <w:right w:val="none" w:sz="0" w:space="0" w:color="auto"/>
      </w:divBdr>
    </w:div>
    <w:div w:id="928075644">
      <w:bodyDiv w:val="1"/>
      <w:marLeft w:val="0"/>
      <w:marRight w:val="0"/>
      <w:marTop w:val="0"/>
      <w:marBottom w:val="0"/>
      <w:divBdr>
        <w:top w:val="none" w:sz="0" w:space="0" w:color="auto"/>
        <w:left w:val="none" w:sz="0" w:space="0" w:color="auto"/>
        <w:bottom w:val="none" w:sz="0" w:space="0" w:color="auto"/>
        <w:right w:val="none" w:sz="0" w:space="0" w:color="auto"/>
      </w:divBdr>
    </w:div>
    <w:div w:id="1045790197">
      <w:bodyDiv w:val="1"/>
      <w:marLeft w:val="0"/>
      <w:marRight w:val="0"/>
      <w:marTop w:val="0"/>
      <w:marBottom w:val="0"/>
      <w:divBdr>
        <w:top w:val="none" w:sz="0" w:space="0" w:color="auto"/>
        <w:left w:val="none" w:sz="0" w:space="0" w:color="auto"/>
        <w:bottom w:val="none" w:sz="0" w:space="0" w:color="auto"/>
        <w:right w:val="none" w:sz="0" w:space="0" w:color="auto"/>
      </w:divBdr>
    </w:div>
    <w:div w:id="1075975997">
      <w:bodyDiv w:val="1"/>
      <w:marLeft w:val="0"/>
      <w:marRight w:val="0"/>
      <w:marTop w:val="0"/>
      <w:marBottom w:val="0"/>
      <w:divBdr>
        <w:top w:val="none" w:sz="0" w:space="0" w:color="auto"/>
        <w:left w:val="none" w:sz="0" w:space="0" w:color="auto"/>
        <w:bottom w:val="none" w:sz="0" w:space="0" w:color="auto"/>
        <w:right w:val="none" w:sz="0" w:space="0" w:color="auto"/>
      </w:divBdr>
    </w:div>
    <w:div w:id="1213154839">
      <w:bodyDiv w:val="1"/>
      <w:marLeft w:val="0"/>
      <w:marRight w:val="0"/>
      <w:marTop w:val="0"/>
      <w:marBottom w:val="0"/>
      <w:divBdr>
        <w:top w:val="none" w:sz="0" w:space="0" w:color="auto"/>
        <w:left w:val="none" w:sz="0" w:space="0" w:color="auto"/>
        <w:bottom w:val="none" w:sz="0" w:space="0" w:color="auto"/>
        <w:right w:val="none" w:sz="0" w:space="0" w:color="auto"/>
      </w:divBdr>
      <w:divsChild>
        <w:div w:id="1693073021">
          <w:marLeft w:val="0"/>
          <w:marRight w:val="0"/>
          <w:marTop w:val="0"/>
          <w:marBottom w:val="0"/>
          <w:divBdr>
            <w:top w:val="none" w:sz="0" w:space="0" w:color="auto"/>
            <w:left w:val="none" w:sz="0" w:space="0" w:color="auto"/>
            <w:bottom w:val="none" w:sz="0" w:space="0" w:color="auto"/>
            <w:right w:val="none" w:sz="0" w:space="0" w:color="auto"/>
          </w:divBdr>
        </w:div>
        <w:div w:id="1391996449">
          <w:marLeft w:val="0"/>
          <w:marRight w:val="0"/>
          <w:marTop w:val="0"/>
          <w:marBottom w:val="0"/>
          <w:divBdr>
            <w:top w:val="none" w:sz="0" w:space="0" w:color="auto"/>
            <w:left w:val="none" w:sz="0" w:space="0" w:color="auto"/>
            <w:bottom w:val="none" w:sz="0" w:space="0" w:color="auto"/>
            <w:right w:val="none" w:sz="0" w:space="0" w:color="auto"/>
          </w:divBdr>
        </w:div>
      </w:divsChild>
    </w:div>
    <w:div w:id="1247687798">
      <w:bodyDiv w:val="1"/>
      <w:marLeft w:val="0"/>
      <w:marRight w:val="0"/>
      <w:marTop w:val="0"/>
      <w:marBottom w:val="0"/>
      <w:divBdr>
        <w:top w:val="none" w:sz="0" w:space="0" w:color="auto"/>
        <w:left w:val="none" w:sz="0" w:space="0" w:color="auto"/>
        <w:bottom w:val="none" w:sz="0" w:space="0" w:color="auto"/>
        <w:right w:val="none" w:sz="0" w:space="0" w:color="auto"/>
      </w:divBdr>
    </w:div>
    <w:div w:id="1341590955">
      <w:bodyDiv w:val="1"/>
      <w:marLeft w:val="0"/>
      <w:marRight w:val="0"/>
      <w:marTop w:val="0"/>
      <w:marBottom w:val="0"/>
      <w:divBdr>
        <w:top w:val="none" w:sz="0" w:space="0" w:color="auto"/>
        <w:left w:val="none" w:sz="0" w:space="0" w:color="auto"/>
        <w:bottom w:val="none" w:sz="0" w:space="0" w:color="auto"/>
        <w:right w:val="none" w:sz="0" w:space="0" w:color="auto"/>
      </w:divBdr>
    </w:div>
    <w:div w:id="1800955991">
      <w:bodyDiv w:val="1"/>
      <w:marLeft w:val="0"/>
      <w:marRight w:val="0"/>
      <w:marTop w:val="0"/>
      <w:marBottom w:val="0"/>
      <w:divBdr>
        <w:top w:val="none" w:sz="0" w:space="0" w:color="auto"/>
        <w:left w:val="none" w:sz="0" w:space="0" w:color="auto"/>
        <w:bottom w:val="none" w:sz="0" w:space="0" w:color="auto"/>
        <w:right w:val="none" w:sz="0" w:space="0" w:color="auto"/>
      </w:divBdr>
    </w:div>
    <w:div w:id="1835074479">
      <w:bodyDiv w:val="1"/>
      <w:marLeft w:val="0"/>
      <w:marRight w:val="0"/>
      <w:marTop w:val="0"/>
      <w:marBottom w:val="0"/>
      <w:divBdr>
        <w:top w:val="none" w:sz="0" w:space="0" w:color="auto"/>
        <w:left w:val="none" w:sz="0" w:space="0" w:color="auto"/>
        <w:bottom w:val="none" w:sz="0" w:space="0" w:color="auto"/>
        <w:right w:val="none" w:sz="0" w:space="0" w:color="auto"/>
      </w:divBdr>
    </w:div>
    <w:div w:id="1976830257">
      <w:bodyDiv w:val="1"/>
      <w:marLeft w:val="0"/>
      <w:marRight w:val="0"/>
      <w:marTop w:val="0"/>
      <w:marBottom w:val="0"/>
      <w:divBdr>
        <w:top w:val="none" w:sz="0" w:space="0" w:color="auto"/>
        <w:left w:val="none" w:sz="0" w:space="0" w:color="auto"/>
        <w:bottom w:val="none" w:sz="0" w:space="0" w:color="auto"/>
        <w:right w:val="none" w:sz="0" w:space="0" w:color="auto"/>
      </w:divBdr>
    </w:div>
    <w:div w:id="209443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3D0F9-870A-4F2D-B0EA-97C11187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1340</Words>
  <Characters>7644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Oggetto: Indagine di mercato conoscitiva su fornitura di custom pack per vitrectomia, iniezione intravitreale e chirurgia orbito-palpebrale</vt:lpstr>
    </vt:vector>
  </TitlesOfParts>
  <Company>Ulss 18 Rovigo</Company>
  <LinksUpToDate>false</LinksUpToDate>
  <CharactersWithSpaces>8967</CharactersWithSpaces>
  <SharedDoc>false</SharedDoc>
  <HLinks>
    <vt:vector size="6" baseType="variant">
      <vt:variant>
        <vt:i4>2687071</vt:i4>
      </vt:variant>
      <vt:variant>
        <vt:i4>0</vt:i4>
      </vt:variant>
      <vt:variant>
        <vt:i4>0</vt:i4>
      </vt:variant>
      <vt:variant>
        <vt:i4>5</vt:i4>
      </vt:variant>
      <vt:variant>
        <vt:lpwstr>mailto:protocollo.aulss5@pec.veneto.it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Indagine di mercato conoscitiva su fornitura di custom pack per vitrectomia, iniezione intravitreale e chirurgia orbito-palpebrale</dc:title>
  <dc:subject/>
  <dc:creator>riarov</dc:creator>
  <cp:keywords/>
  <cp:lastModifiedBy>Francesco Callegari</cp:lastModifiedBy>
  <cp:revision>4</cp:revision>
  <cp:lastPrinted>2025-05-22T12:01:00Z</cp:lastPrinted>
  <dcterms:created xsi:type="dcterms:W3CDTF">2025-10-10T10:24:00Z</dcterms:created>
  <dcterms:modified xsi:type="dcterms:W3CDTF">2025-10-10T10:47:00Z</dcterms:modified>
</cp:coreProperties>
</file>